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8E" w:rsidRDefault="00AD3D8E" w:rsidP="00AD3D8E">
      <w:pPr>
        <w:pStyle w:val="NoSpacing"/>
        <w:rPr>
          <w:sz w:val="24"/>
          <w:szCs w:val="24"/>
        </w:rPr>
      </w:pPr>
      <w:bookmarkStart w:id="0" w:name="_GoBack"/>
      <w:bookmarkEnd w:id="0"/>
      <w:r>
        <w:rPr>
          <w:sz w:val="24"/>
          <w:szCs w:val="24"/>
        </w:rPr>
        <w:t>IDPH ACCREDITATION DOCUMENT GUIDANCE CHECKLIST</w:t>
      </w:r>
    </w:p>
    <w:p w:rsidR="00AD3D8E" w:rsidRDefault="00AD3D8E" w:rsidP="00AD3D8E">
      <w:pPr>
        <w:pStyle w:val="NoSpacing"/>
        <w:rPr>
          <w:sz w:val="24"/>
          <w:szCs w:val="24"/>
        </w:rPr>
      </w:pPr>
    </w:p>
    <w:p w:rsidR="00AD3D8E" w:rsidRDefault="00AD3D8E" w:rsidP="00AD3D8E">
      <w:pPr>
        <w:pStyle w:val="NoSpacing"/>
        <w:rPr>
          <w:sz w:val="24"/>
          <w:szCs w:val="24"/>
        </w:rPr>
      </w:pPr>
      <w:r>
        <w:rPr>
          <w:b/>
          <w:sz w:val="24"/>
          <w:szCs w:val="24"/>
        </w:rPr>
        <w:t>Helpful Tips</w:t>
      </w:r>
      <w:r>
        <w:rPr>
          <w:sz w:val="24"/>
          <w:szCs w:val="24"/>
        </w:rPr>
        <w:t>:</w:t>
      </w:r>
    </w:p>
    <w:tbl>
      <w:tblPr>
        <w:tblStyle w:val="TableGrid"/>
        <w:tblpPr w:leftFromText="180" w:rightFromText="180" w:vertAnchor="text" w:horzAnchor="margin" w:tblpXSpec="center" w:tblpY="164"/>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17365D" w:themeFill="text2" w:themeFillShade="BF"/>
        <w:tblLook w:val="04A0" w:firstRow="1" w:lastRow="0" w:firstColumn="1" w:lastColumn="0" w:noHBand="0" w:noVBand="1"/>
      </w:tblPr>
      <w:tblGrid>
        <w:gridCol w:w="8774"/>
      </w:tblGrid>
      <w:tr w:rsidR="00AD3D8E" w:rsidTr="00AD3D8E">
        <w:tc>
          <w:tcPr>
            <w:tcW w:w="877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rsidR="00AD3D8E" w:rsidRDefault="00AD3D8E">
            <w:pPr>
              <w:pStyle w:val="NoSpacing"/>
              <w:rPr>
                <w:sz w:val="24"/>
                <w:szCs w:val="24"/>
              </w:rPr>
            </w:pPr>
            <w:r>
              <w:rPr>
                <w:sz w:val="24"/>
                <w:szCs w:val="24"/>
              </w:rPr>
              <w:tab/>
            </w:r>
          </w:p>
          <w:p w:rsidR="00AD3D8E" w:rsidRDefault="00AD3D8E">
            <w:pPr>
              <w:pStyle w:val="NoSpacing"/>
              <w:rPr>
                <w:sz w:val="24"/>
                <w:szCs w:val="24"/>
              </w:rPr>
            </w:pPr>
            <w:r>
              <w:rPr>
                <w:sz w:val="24"/>
                <w:szCs w:val="24"/>
              </w:rPr>
              <w:t>Format for the Standards and Measures</w:t>
            </w:r>
          </w:p>
          <w:p w:rsidR="00AD3D8E" w:rsidRDefault="00AD3D8E">
            <w:pPr>
              <w:pStyle w:val="NoSpacing"/>
              <w:rPr>
                <w:sz w:val="24"/>
                <w:szCs w:val="24"/>
              </w:rPr>
            </w:pPr>
          </w:p>
        </w:tc>
      </w:tr>
    </w:tbl>
    <w:p w:rsidR="00AD3D8E" w:rsidRDefault="00AD3D8E" w:rsidP="00AD3D8E">
      <w:pPr>
        <w:pStyle w:val="NoSpacing"/>
        <w:rPr>
          <w:sz w:val="24"/>
          <w:szCs w:val="24"/>
        </w:rPr>
      </w:pPr>
    </w:p>
    <w:p w:rsidR="00AD3D8E" w:rsidRDefault="00AD3D8E" w:rsidP="00AD3D8E">
      <w:pPr>
        <w:pStyle w:val="NoSpacing"/>
        <w:rPr>
          <w:sz w:val="24"/>
          <w:szCs w:val="24"/>
        </w:rPr>
      </w:pPr>
    </w:p>
    <w:p w:rsidR="00AD3D8E" w:rsidRDefault="00AD3D8E" w:rsidP="00AD3D8E">
      <w:pPr>
        <w:pStyle w:val="NoSpacing"/>
        <w:rPr>
          <w:sz w:val="18"/>
          <w:szCs w:val="18"/>
        </w:rPr>
      </w:pPr>
      <w:r>
        <w:rPr>
          <w:sz w:val="18"/>
          <w:szCs w:val="18"/>
        </w:rPr>
        <w:tab/>
        <w:t xml:space="preserve">In this document the PHAB Standards and Measures are preceded by the domain number and brief description of the domain.  </w:t>
      </w:r>
      <w:r>
        <w:rPr>
          <w:sz w:val="18"/>
          <w:szCs w:val="18"/>
        </w:rPr>
        <w:tab/>
        <w:t xml:space="preserve">Standards are repeated at the beginning of each measure for each reference.  The chart below provides an example of the layout </w:t>
      </w:r>
      <w:r>
        <w:rPr>
          <w:sz w:val="18"/>
          <w:szCs w:val="18"/>
        </w:rPr>
        <w:tab/>
        <w:t>for standards, measures required documentation and guidance for required documentation.</w:t>
      </w:r>
    </w:p>
    <w:tbl>
      <w:tblPr>
        <w:tblStyle w:val="TableGrid"/>
        <w:tblpPr w:leftFromText="180" w:rightFromText="180" w:vertAnchor="text" w:horzAnchor="margin" w:tblpXSpec="center" w:tblpY="194"/>
        <w:tblW w:w="8767" w:type="dxa"/>
        <w:tblBorders>
          <w:top w:val="none" w:sz="0" w:space="0" w:color="auto"/>
          <w:left w:val="none" w:sz="0" w:space="0" w:color="auto"/>
          <w:bottom w:val="single" w:sz="4" w:space="0" w:color="17365D" w:themeColor="text2" w:themeShade="BF"/>
          <w:right w:val="none" w:sz="0" w:space="0" w:color="auto"/>
          <w:insideH w:val="single" w:sz="4" w:space="0" w:color="17365D" w:themeColor="text2" w:themeShade="BF"/>
          <w:insideV w:val="single" w:sz="4" w:space="0" w:color="17365D" w:themeColor="text2" w:themeShade="BF"/>
        </w:tblBorders>
        <w:shd w:val="clear" w:color="auto" w:fill="C4BC96" w:themeFill="background2" w:themeFillShade="BF"/>
        <w:tblLook w:val="04A0" w:firstRow="1" w:lastRow="0" w:firstColumn="1" w:lastColumn="0" w:noHBand="0" w:noVBand="1"/>
      </w:tblPr>
      <w:tblGrid>
        <w:gridCol w:w="8767"/>
      </w:tblGrid>
      <w:tr w:rsidR="00AD3D8E" w:rsidTr="00AD3D8E">
        <w:tc>
          <w:tcPr>
            <w:tcW w:w="8767" w:type="dxa"/>
            <w:tcBorders>
              <w:top w:val="nil"/>
              <w:left w:val="nil"/>
              <w:bottom w:val="single" w:sz="4" w:space="0" w:color="17365D" w:themeColor="text2" w:themeShade="BF"/>
              <w:right w:val="nil"/>
            </w:tcBorders>
            <w:shd w:val="clear" w:color="auto" w:fill="C4BC96" w:themeFill="background2" w:themeFillShade="BF"/>
            <w:vAlign w:val="center"/>
          </w:tcPr>
          <w:p w:rsidR="00AD3D8E" w:rsidRDefault="00AD3D8E">
            <w:pPr>
              <w:pStyle w:val="NoSpacing"/>
              <w:jc w:val="center"/>
              <w:rPr>
                <w:sz w:val="24"/>
                <w:szCs w:val="24"/>
              </w:rPr>
            </w:pPr>
          </w:p>
          <w:p w:rsidR="00AD3D8E" w:rsidRDefault="00AD3D8E">
            <w:pPr>
              <w:pStyle w:val="NoSpacing"/>
              <w:jc w:val="center"/>
              <w:rPr>
                <w:sz w:val="24"/>
                <w:szCs w:val="24"/>
              </w:rPr>
            </w:pPr>
            <w:r>
              <w:rPr>
                <w:sz w:val="24"/>
                <w:szCs w:val="24"/>
              </w:rPr>
              <w:t>Standard:  This is the standard to which the measure applies.</w:t>
            </w:r>
          </w:p>
          <w:p w:rsidR="00AD3D8E" w:rsidRDefault="00AD3D8E">
            <w:pPr>
              <w:pStyle w:val="NoSpacing"/>
              <w:jc w:val="center"/>
              <w:rPr>
                <w:sz w:val="24"/>
                <w:szCs w:val="24"/>
              </w:rPr>
            </w:pPr>
          </w:p>
        </w:tc>
      </w:tr>
    </w:tbl>
    <w:p w:rsidR="00AD3D8E" w:rsidRDefault="00AD3D8E" w:rsidP="00AD3D8E">
      <w:pPr>
        <w:pStyle w:val="NoSpacing"/>
        <w:rPr>
          <w:sz w:val="18"/>
          <w:szCs w:val="18"/>
        </w:rPr>
      </w:pPr>
      <w:r>
        <w:rPr>
          <w:sz w:val="18"/>
          <w:szCs w:val="18"/>
        </w:rPr>
        <w:tab/>
      </w:r>
    </w:p>
    <w:p w:rsidR="00AD3D8E" w:rsidRDefault="00AD3D8E" w:rsidP="00AD3D8E">
      <w:pPr>
        <w:pStyle w:val="NoSpacing"/>
        <w:rPr>
          <w:sz w:val="18"/>
          <w:szCs w:val="18"/>
        </w:rPr>
      </w:pPr>
    </w:p>
    <w:p w:rsidR="00AD3D8E" w:rsidRDefault="00AD3D8E" w:rsidP="00AD3D8E">
      <w:pPr>
        <w:pStyle w:val="NoSpacing"/>
        <w:rPr>
          <w:sz w:val="18"/>
          <w:szCs w:val="18"/>
        </w:rPr>
      </w:pPr>
    </w:p>
    <w:p w:rsidR="00AD3D8E" w:rsidRDefault="00AD3D8E" w:rsidP="00AD3D8E">
      <w:pPr>
        <w:pStyle w:val="NoSpacing"/>
        <w:rPr>
          <w:sz w:val="18"/>
          <w:szCs w:val="18"/>
        </w:rPr>
      </w:pPr>
    </w:p>
    <w:p w:rsidR="00AD3D8E" w:rsidRDefault="00AD3D8E" w:rsidP="00AD3D8E">
      <w:pPr>
        <w:pStyle w:val="NoSpacing"/>
        <w:rPr>
          <w:sz w:val="18"/>
          <w:szCs w:val="18"/>
        </w:rPr>
      </w:pPr>
    </w:p>
    <w:p w:rsidR="00AD3D8E" w:rsidRDefault="00AD3D8E" w:rsidP="00AD3D8E">
      <w:pPr>
        <w:pStyle w:val="NoSpacing"/>
        <w:rPr>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617220</wp:posOffset>
                </wp:positionH>
                <wp:positionV relativeFrom="paragraph">
                  <wp:posOffset>171450</wp:posOffset>
                </wp:positionV>
                <wp:extent cx="169545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1695450" cy="1104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3D8E" w:rsidRDefault="00AD3D8E" w:rsidP="00AD3D8E">
                            <w:pPr>
                              <w:spacing w:after="0"/>
                              <w:rPr>
                                <w:color w:val="000000" w:themeColor="text1"/>
                                <w:sz w:val="16"/>
                                <w:szCs w:val="16"/>
                              </w:rPr>
                            </w:pPr>
                            <w:r>
                              <w:rPr>
                                <w:color w:val="000000" w:themeColor="text1"/>
                                <w:sz w:val="16"/>
                                <w:szCs w:val="16"/>
                              </w:rPr>
                              <w:t xml:space="preserve">This section states the measure on which the health department is being evaluated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8.6pt;margin-top:13.5pt;width:133.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" fillcolor="#d8d8d8 [2732]" stroked="f" strokeweight="2pt">
                <v:textbox>
                  <w:txbxContent>
                    <w:p w:rsidR="00AD3D8E" w:rsidRDefault="00AD3D8E" w:rsidP="00AD3D8E">
                      <w:pPr>
                        <w:spacing w:after="0"/>
                        <w:rPr>
                          <w:color w:val="000000" w:themeColor="text1"/>
                          <w:sz w:val="16"/>
                          <w:szCs w:val="16"/>
                        </w:rPr>
                      </w:pPr>
                      <w:r>
                        <w:rPr>
                          <w:color w:val="000000" w:themeColor="text1"/>
                          <w:sz w:val="16"/>
                          <w:szCs w:val="16"/>
                        </w:rPr>
                        <w:t xml:space="preserve">This section states the measure on which the health department is being evaluated </w:t>
                      </w:r>
                    </w:p>
                  </w:txbxContent>
                </v:textbox>
              </v:rect>
            </w:pict>
          </mc:Fallback>
        </mc:AlternateContent>
      </w:r>
      <w:r>
        <w:rPr>
          <w:sz w:val="24"/>
          <w:szCs w:val="24"/>
        </w:rPr>
        <w:tab/>
        <w:t xml:space="preserve">     </w:t>
      </w:r>
      <w:r>
        <w:rPr>
          <w:b/>
          <w:color w:val="17365D" w:themeColor="text2" w:themeShade="BF"/>
          <w:sz w:val="24"/>
          <w:szCs w:val="24"/>
        </w:rPr>
        <w:t>Measure</w:t>
      </w:r>
      <w:r>
        <w:rPr>
          <w:b/>
          <w:color w:val="17365D" w:themeColor="text2" w:themeShade="BF"/>
          <w:sz w:val="24"/>
          <w:szCs w:val="24"/>
        </w:rPr>
        <w:tab/>
      </w:r>
      <w:r>
        <w:rPr>
          <w:b/>
          <w:color w:val="17365D" w:themeColor="text2" w:themeShade="BF"/>
          <w:sz w:val="24"/>
          <w:szCs w:val="24"/>
        </w:rPr>
        <w:tab/>
      </w:r>
      <w:r>
        <w:rPr>
          <w:b/>
          <w:color w:val="17365D" w:themeColor="text2" w:themeShade="BF"/>
          <w:sz w:val="24"/>
          <w:szCs w:val="24"/>
        </w:rPr>
        <w:tab/>
        <w:t xml:space="preserve">   Purpose</w:t>
      </w:r>
      <w:r>
        <w:rPr>
          <w:b/>
          <w:color w:val="17365D" w:themeColor="text2" w:themeShade="BF"/>
          <w:sz w:val="24"/>
          <w:szCs w:val="24"/>
        </w:rPr>
        <w:tab/>
      </w:r>
      <w:r>
        <w:rPr>
          <w:b/>
          <w:color w:val="17365D" w:themeColor="text2" w:themeShade="BF"/>
          <w:sz w:val="24"/>
          <w:szCs w:val="24"/>
        </w:rPr>
        <w:tab/>
      </w:r>
      <w:r>
        <w:rPr>
          <w:b/>
          <w:color w:val="17365D" w:themeColor="text2" w:themeShade="BF"/>
          <w:sz w:val="24"/>
          <w:szCs w:val="24"/>
        </w:rPr>
        <w:tab/>
        <w:t xml:space="preserve">           Significance</w:t>
      </w:r>
      <w:r>
        <w:rPr>
          <w:sz w:val="24"/>
          <w:szCs w:val="24"/>
        </w:rPr>
        <w:tab/>
      </w:r>
    </w:p>
    <w:p w:rsidR="00AD3D8E" w:rsidRDefault="00AD3D8E" w:rsidP="00AD3D8E">
      <w:pPr>
        <w:pStyle w:val="NoSpacing"/>
        <w:rPr>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2379345</wp:posOffset>
                </wp:positionH>
                <wp:positionV relativeFrom="paragraph">
                  <wp:posOffset>-5080</wp:posOffset>
                </wp:positionV>
                <wp:extent cx="2028825" cy="1104900"/>
                <wp:effectExtent l="0" t="0" r="9525" b="0"/>
                <wp:wrapNone/>
                <wp:docPr id="6" name="Rectangle 6"/>
                <wp:cNvGraphicFramePr/>
                <a:graphic xmlns:a="http://schemas.openxmlformats.org/drawingml/2006/main">
                  <a:graphicData uri="http://schemas.microsoft.com/office/word/2010/wordprocessingShape">
                    <wps:wsp>
                      <wps:cNvSpPr/>
                      <wps:spPr>
                        <a:xfrm>
                          <a:off x="0" y="0"/>
                          <a:ext cx="2028825" cy="1104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3D8E" w:rsidRDefault="00AD3D8E" w:rsidP="00AD3D8E">
                            <w:pPr>
                              <w:spacing w:after="0"/>
                              <w:rPr>
                                <w:color w:val="000000" w:themeColor="text1"/>
                                <w:sz w:val="16"/>
                                <w:szCs w:val="16"/>
                              </w:rPr>
                            </w:pPr>
                            <w:r>
                              <w:rPr>
                                <w:color w:val="000000" w:themeColor="text1"/>
                                <w:sz w:val="16"/>
                                <w:szCs w:val="16"/>
                              </w:rPr>
                              <w:t xml:space="preserve">The purpose of this measure is to assess the health Department’s  </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This section describes the public health capacity or activity on which the health department is being assessed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187.35pt;margin-top:-.4pt;width:159.7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" fillcolor="#d8d8d8 [2732]" stroked="f" strokeweight="2pt">
                <v:textbox>
                  <w:txbxContent>
                    <w:p w:rsidR="00AD3D8E" w:rsidRDefault="00AD3D8E" w:rsidP="00AD3D8E">
                      <w:pPr>
                        <w:spacing w:after="0"/>
                        <w:rPr>
                          <w:color w:val="000000" w:themeColor="text1"/>
                          <w:sz w:val="16"/>
                          <w:szCs w:val="16"/>
                        </w:rPr>
                      </w:pPr>
                      <w:r>
                        <w:rPr>
                          <w:color w:val="000000" w:themeColor="text1"/>
                          <w:sz w:val="16"/>
                          <w:szCs w:val="16"/>
                        </w:rPr>
                        <w:t xml:space="preserve">The purpose of this measure is to assess the health Department’s  </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This section describes the public health capacity or activity on which the health department is being assessed</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4465320</wp:posOffset>
                </wp:positionH>
                <wp:positionV relativeFrom="paragraph">
                  <wp:posOffset>-5080</wp:posOffset>
                </wp:positionV>
                <wp:extent cx="1714500" cy="1104900"/>
                <wp:effectExtent l="0" t="0" r="0" b="0"/>
                <wp:wrapNone/>
                <wp:docPr id="7" name="Rectangle 7"/>
                <wp:cNvGraphicFramePr/>
                <a:graphic xmlns:a="http://schemas.openxmlformats.org/drawingml/2006/main">
                  <a:graphicData uri="http://schemas.microsoft.com/office/word/2010/wordprocessingShape">
                    <wps:wsp>
                      <wps:cNvSpPr/>
                      <wps:spPr>
                        <a:xfrm>
                          <a:off x="0" y="0"/>
                          <a:ext cx="1714500" cy="1104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3D8E" w:rsidRDefault="00AD3D8E" w:rsidP="00AD3D8E">
                            <w:pPr>
                              <w:spacing w:after="0"/>
                              <w:rPr>
                                <w:color w:val="000000" w:themeColor="text1"/>
                                <w:sz w:val="16"/>
                                <w:szCs w:val="16"/>
                              </w:rPr>
                            </w:pPr>
                            <w:r>
                              <w:rPr>
                                <w:color w:val="000000" w:themeColor="text1"/>
                                <w:sz w:val="16"/>
                                <w:szCs w:val="16"/>
                              </w:rPr>
                              <w:t xml:space="preserve">This section describes the necessity for the capacity or activity that is being assessed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351.6pt;margin-top:-.4pt;width:13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" fillcolor="#d8d8d8 [2732]" stroked="f" strokeweight="2pt">
                <v:textbox>
                  <w:txbxContent>
                    <w:p w:rsidR="00AD3D8E" w:rsidRDefault="00AD3D8E" w:rsidP="00AD3D8E">
                      <w:pPr>
                        <w:spacing w:after="0"/>
                        <w:rPr>
                          <w:color w:val="000000" w:themeColor="text1"/>
                          <w:sz w:val="16"/>
                          <w:szCs w:val="16"/>
                        </w:rPr>
                      </w:pPr>
                      <w:r>
                        <w:rPr>
                          <w:color w:val="000000" w:themeColor="text1"/>
                          <w:sz w:val="16"/>
                          <w:szCs w:val="16"/>
                        </w:rPr>
                        <w:t xml:space="preserve">This section describes the necessity for the capacity or activity that is being assessed </w:t>
                      </w:r>
                    </w:p>
                  </w:txbxContent>
                </v:textbox>
              </v:rect>
            </w:pict>
          </mc:Fallback>
        </mc:AlternateContent>
      </w: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b/>
          <w:color w:val="17365D" w:themeColor="text2" w:themeShade="BF"/>
          <w:sz w:val="24"/>
          <w:szCs w:val="24"/>
        </w:rPr>
      </w:pPr>
      <w:r>
        <w:rPr>
          <w:color w:val="000000" w:themeColor="text1"/>
          <w:sz w:val="24"/>
          <w:szCs w:val="24"/>
        </w:rPr>
        <w:tab/>
      </w:r>
      <w:r>
        <w:rPr>
          <w:b/>
          <w:color w:val="17365D" w:themeColor="text2" w:themeShade="BF"/>
          <w:sz w:val="24"/>
          <w:szCs w:val="24"/>
        </w:rPr>
        <w:t xml:space="preserve"> </w:t>
      </w:r>
    </w:p>
    <w:p w:rsidR="00AD3D8E" w:rsidRDefault="00AD3D8E" w:rsidP="00AD3D8E">
      <w:pPr>
        <w:pStyle w:val="NoSpacing"/>
        <w:ind w:left="720"/>
      </w:pPr>
      <w:r>
        <w:rPr>
          <w:b/>
          <w:color w:val="17365D" w:themeColor="text2" w:themeShade="BF"/>
          <w:sz w:val="24"/>
          <w:szCs w:val="24"/>
        </w:rPr>
        <w:t xml:space="preserve">      </w:t>
      </w:r>
      <w:r>
        <w:rPr>
          <w:b/>
          <w:color w:val="17365D" w:themeColor="text2" w:themeShade="BF"/>
        </w:rPr>
        <w:t>Required Documentation</w:t>
      </w:r>
      <w:r>
        <w:rPr>
          <w:b/>
          <w:color w:val="17365D" w:themeColor="text2" w:themeShade="BF"/>
        </w:rPr>
        <w:tab/>
        <w:t xml:space="preserve">    Guidance</w:t>
      </w:r>
    </w:p>
    <w:p w:rsidR="00AD3D8E" w:rsidRDefault="00AD3D8E" w:rsidP="00AD3D8E">
      <w:pPr>
        <w:pStyle w:val="NoSpacing"/>
      </w:pPr>
      <w:r>
        <w:rPr>
          <w:noProof/>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56515</wp:posOffset>
                </wp:positionV>
                <wp:extent cx="1695450" cy="1695450"/>
                <wp:effectExtent l="0" t="0" r="0" b="0"/>
                <wp:wrapNone/>
                <wp:docPr id="8" name="Rectangle 8"/>
                <wp:cNvGraphicFramePr/>
                <a:graphic xmlns:a="http://schemas.openxmlformats.org/drawingml/2006/main">
                  <a:graphicData uri="http://schemas.microsoft.com/office/word/2010/wordprocessingShape">
                    <wps:wsp>
                      <wps:cNvSpPr/>
                      <wps:spPr>
                        <a:xfrm>
                          <a:off x="0" y="0"/>
                          <a:ext cx="1695450" cy="169545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3D8E" w:rsidRDefault="00AD3D8E" w:rsidP="00AD3D8E">
                            <w:pPr>
                              <w:spacing w:after="0"/>
                              <w:rPr>
                                <w:color w:val="000000" w:themeColor="text1"/>
                                <w:sz w:val="16"/>
                                <w:szCs w:val="16"/>
                              </w:rPr>
                            </w:pPr>
                            <w:r>
                              <w:rPr>
                                <w:color w:val="000000" w:themeColor="text1"/>
                                <w:sz w:val="16"/>
                                <w:szCs w:val="16"/>
                              </w:rPr>
                              <w:t>This document lists the documentation that the health department must provide as evidence that it is conformity with the measure.</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The documentation will be numbered:</w:t>
                            </w:r>
                          </w:p>
                          <w:p w:rsidR="00AD3D8E" w:rsidRDefault="00AD3D8E" w:rsidP="00AD3D8E">
                            <w:pPr>
                              <w:spacing w:after="0"/>
                              <w:rPr>
                                <w:color w:val="000000" w:themeColor="text1"/>
                                <w:sz w:val="16"/>
                                <w:szCs w:val="16"/>
                              </w:rPr>
                            </w:pPr>
                            <w:r>
                              <w:rPr>
                                <w:color w:val="000000" w:themeColor="text1"/>
                                <w:sz w:val="16"/>
                                <w:szCs w:val="16"/>
                              </w:rPr>
                              <w:t>1.  XX</w:t>
                            </w:r>
                          </w:p>
                          <w:p w:rsidR="00AD3D8E" w:rsidRDefault="00AD3D8E" w:rsidP="00AD3D8E">
                            <w:pPr>
                              <w:spacing w:after="0"/>
                              <w:rPr>
                                <w:color w:val="000000" w:themeColor="text1"/>
                                <w:sz w:val="16"/>
                                <w:szCs w:val="16"/>
                              </w:rPr>
                            </w:pPr>
                            <w:r>
                              <w:rPr>
                                <w:color w:val="000000" w:themeColor="text1"/>
                                <w:sz w:val="16"/>
                                <w:szCs w:val="16"/>
                              </w:rPr>
                              <w:t>2.  XX</w:t>
                            </w:r>
                            <w:r>
                              <w:rPr>
                                <w:color w:val="000000" w:themeColor="text1"/>
                                <w:sz w:val="16"/>
                                <w:szCs w:val="16"/>
                              </w:rPr>
                              <w:tab/>
                              <w:t>a) XX</w:t>
                            </w:r>
                          </w:p>
                          <w:p w:rsidR="00AD3D8E" w:rsidRDefault="00AD3D8E" w:rsidP="00AD3D8E">
                            <w:pPr>
                              <w:spacing w:after="0"/>
                              <w:rPr>
                                <w:color w:val="000000" w:themeColor="text1"/>
                                <w:sz w:val="16"/>
                                <w:szCs w:val="16"/>
                              </w:rPr>
                            </w:pPr>
                            <w:r>
                              <w:rPr>
                                <w:color w:val="000000" w:themeColor="text1"/>
                                <w:sz w:val="16"/>
                                <w:szCs w:val="16"/>
                              </w:rPr>
                              <w:tab/>
                              <w:t>b)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margin-left:48.6pt;margin-top:4.45pt;width:133.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" fillcolor="#8db3e2 [1311]" stroked="f" strokeweight="2pt">
                <v:textbox>
                  <w:txbxContent>
                    <w:p w:rsidR="00AD3D8E" w:rsidRDefault="00AD3D8E" w:rsidP="00AD3D8E">
                      <w:pPr>
                        <w:spacing w:after="0"/>
                        <w:rPr>
                          <w:color w:val="000000" w:themeColor="text1"/>
                          <w:sz w:val="16"/>
                          <w:szCs w:val="16"/>
                        </w:rPr>
                      </w:pPr>
                      <w:r>
                        <w:rPr>
                          <w:color w:val="000000" w:themeColor="text1"/>
                          <w:sz w:val="16"/>
                          <w:szCs w:val="16"/>
                        </w:rPr>
                        <w:t>This document lists the documentation that the health department must provide as evidence that it is conformity with the measure.</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The documentation will be numbered:</w:t>
                      </w:r>
                    </w:p>
                    <w:p w:rsidR="00AD3D8E" w:rsidRDefault="00AD3D8E" w:rsidP="00AD3D8E">
                      <w:pPr>
                        <w:spacing w:after="0"/>
                        <w:rPr>
                          <w:color w:val="000000" w:themeColor="text1"/>
                          <w:sz w:val="16"/>
                          <w:szCs w:val="16"/>
                        </w:rPr>
                      </w:pPr>
                      <w:r>
                        <w:rPr>
                          <w:color w:val="000000" w:themeColor="text1"/>
                          <w:sz w:val="16"/>
                          <w:szCs w:val="16"/>
                        </w:rPr>
                        <w:t>1.  XX</w:t>
                      </w:r>
                    </w:p>
                    <w:p w:rsidR="00AD3D8E" w:rsidRDefault="00AD3D8E" w:rsidP="00AD3D8E">
                      <w:pPr>
                        <w:spacing w:after="0"/>
                        <w:rPr>
                          <w:color w:val="000000" w:themeColor="text1"/>
                          <w:sz w:val="16"/>
                          <w:szCs w:val="16"/>
                        </w:rPr>
                      </w:pPr>
                      <w:r>
                        <w:rPr>
                          <w:color w:val="000000" w:themeColor="text1"/>
                          <w:sz w:val="16"/>
                          <w:szCs w:val="16"/>
                        </w:rPr>
                        <w:t>2.  XX</w:t>
                      </w:r>
                      <w:r>
                        <w:rPr>
                          <w:color w:val="000000" w:themeColor="text1"/>
                          <w:sz w:val="16"/>
                          <w:szCs w:val="16"/>
                        </w:rPr>
                        <w:tab/>
                        <w:t>a) XX</w:t>
                      </w:r>
                    </w:p>
                    <w:p w:rsidR="00AD3D8E" w:rsidRDefault="00AD3D8E" w:rsidP="00AD3D8E">
                      <w:pPr>
                        <w:spacing w:after="0"/>
                        <w:rPr>
                          <w:color w:val="000000" w:themeColor="text1"/>
                          <w:sz w:val="16"/>
                          <w:szCs w:val="16"/>
                        </w:rPr>
                      </w:pPr>
                      <w:r>
                        <w:rPr>
                          <w:color w:val="000000" w:themeColor="text1"/>
                          <w:sz w:val="16"/>
                          <w:szCs w:val="16"/>
                        </w:rPr>
                        <w:tab/>
                        <w:t>b) XX</w:t>
                      </w:r>
                    </w:p>
                  </w:txbxContent>
                </v:textbox>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2381250</wp:posOffset>
                </wp:positionH>
                <wp:positionV relativeFrom="paragraph">
                  <wp:posOffset>53340</wp:posOffset>
                </wp:positionV>
                <wp:extent cx="3819525" cy="1695450"/>
                <wp:effectExtent l="0" t="0" r="9525" b="0"/>
                <wp:wrapNone/>
                <wp:docPr id="9" name="Rectangle 9"/>
                <wp:cNvGraphicFramePr/>
                <a:graphic xmlns:a="http://schemas.openxmlformats.org/drawingml/2006/main">
                  <a:graphicData uri="http://schemas.microsoft.com/office/word/2010/wordprocessingShape">
                    <wps:wsp>
                      <wps:cNvSpPr/>
                      <wps:spPr>
                        <a:xfrm>
                          <a:off x="0" y="0"/>
                          <a:ext cx="3819525" cy="169545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3D8E" w:rsidRDefault="00AD3D8E" w:rsidP="00AD3D8E">
                            <w:pPr>
                              <w:spacing w:after="0"/>
                              <w:rPr>
                                <w:color w:val="000000" w:themeColor="text1"/>
                                <w:sz w:val="16"/>
                                <w:szCs w:val="16"/>
                              </w:rPr>
                            </w:pPr>
                            <w:r>
                              <w:rPr>
                                <w:color w:val="000000" w:themeColor="text1"/>
                                <w:sz w:val="16"/>
                                <w:szCs w:val="16"/>
                              </w:rPr>
                              <w:t>This Section provides guidance specific to the required documentation.  Types of material may be described. e.g., meeting minutes partnership member list, etc. Examples may also be provided here.</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This section will state if the documentation is department-wide or if a selection of programs’ documentation is required.</w:t>
                            </w:r>
                          </w:p>
                          <w:p w:rsidR="00AD3D8E" w:rsidRDefault="00AD3D8E" w:rsidP="00AD3D8E">
                            <w:pPr>
                              <w:spacing w:after="0"/>
                              <w:rPr>
                                <w:color w:val="000000" w:themeColor="text1"/>
                                <w:sz w:val="16"/>
                                <w:szCs w:val="16"/>
                              </w:rPr>
                            </w:pPr>
                            <w:r>
                              <w:rPr>
                                <w:color w:val="000000" w:themeColor="text1"/>
                                <w:sz w:val="16"/>
                                <w:szCs w:val="16"/>
                              </w:rPr>
                              <w:t>1.  XX</w:t>
                            </w:r>
                          </w:p>
                          <w:p w:rsidR="00AD3D8E" w:rsidRDefault="00AD3D8E" w:rsidP="00AD3D8E">
                            <w:pPr>
                              <w:spacing w:after="0"/>
                              <w:rPr>
                                <w:color w:val="000000" w:themeColor="text1"/>
                                <w:sz w:val="16"/>
                                <w:szCs w:val="16"/>
                              </w:rPr>
                            </w:pPr>
                            <w:r>
                              <w:rPr>
                                <w:color w:val="000000" w:themeColor="text1"/>
                                <w:sz w:val="16"/>
                                <w:szCs w:val="16"/>
                              </w:rPr>
                              <w:t>2.  XX</w:t>
                            </w:r>
                            <w:r>
                              <w:rPr>
                                <w:color w:val="000000" w:themeColor="text1"/>
                                <w:sz w:val="16"/>
                                <w:szCs w:val="16"/>
                              </w:rPr>
                              <w:tab/>
                              <w:t>a) XX</w:t>
                            </w:r>
                          </w:p>
                          <w:p w:rsidR="00AD3D8E" w:rsidRDefault="00AD3D8E" w:rsidP="00AD3D8E">
                            <w:pPr>
                              <w:spacing w:after="0"/>
                              <w:rPr>
                                <w:color w:val="000000" w:themeColor="text1"/>
                                <w:sz w:val="16"/>
                                <w:szCs w:val="16"/>
                              </w:rPr>
                            </w:pPr>
                            <w:r>
                              <w:rPr>
                                <w:color w:val="000000" w:themeColor="text1"/>
                                <w:sz w:val="16"/>
                                <w:szCs w:val="16"/>
                              </w:rPr>
                              <w:tab/>
                              <w:t>b) XX</w:t>
                            </w:r>
                          </w:p>
                          <w:p w:rsidR="00AD3D8E" w:rsidRDefault="00AD3D8E" w:rsidP="00AD3D8E">
                            <w:pPr>
                              <w:spacing w:after="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187.5pt;margin-top:4.2pt;width:300.7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" fillcolor="#8db3e2 [1311]" stroked="f" strokeweight="2pt">
                <v:textbox>
                  <w:txbxContent>
                    <w:p w:rsidR="00AD3D8E" w:rsidRDefault="00AD3D8E" w:rsidP="00AD3D8E">
                      <w:pPr>
                        <w:spacing w:after="0"/>
                        <w:rPr>
                          <w:color w:val="000000" w:themeColor="text1"/>
                          <w:sz w:val="16"/>
                          <w:szCs w:val="16"/>
                        </w:rPr>
                      </w:pPr>
                      <w:r>
                        <w:rPr>
                          <w:color w:val="000000" w:themeColor="text1"/>
                          <w:sz w:val="16"/>
                          <w:szCs w:val="16"/>
                        </w:rPr>
                        <w:t>This Section provides guidance specific to the required documentation.  Types of material may be described. e.g., meeting minutes partnership member list, etc. Examples may also be provided here.</w:t>
                      </w:r>
                    </w:p>
                    <w:p w:rsidR="00AD3D8E" w:rsidRDefault="00AD3D8E" w:rsidP="00AD3D8E">
                      <w:pPr>
                        <w:spacing w:after="0"/>
                        <w:rPr>
                          <w:color w:val="000000" w:themeColor="text1"/>
                          <w:sz w:val="16"/>
                          <w:szCs w:val="16"/>
                        </w:rPr>
                      </w:pPr>
                    </w:p>
                    <w:p w:rsidR="00AD3D8E" w:rsidRDefault="00AD3D8E" w:rsidP="00AD3D8E">
                      <w:pPr>
                        <w:spacing w:after="0"/>
                        <w:rPr>
                          <w:color w:val="000000" w:themeColor="text1"/>
                          <w:sz w:val="16"/>
                          <w:szCs w:val="16"/>
                        </w:rPr>
                      </w:pPr>
                      <w:r>
                        <w:rPr>
                          <w:color w:val="000000" w:themeColor="text1"/>
                          <w:sz w:val="16"/>
                          <w:szCs w:val="16"/>
                        </w:rPr>
                        <w:t>This section will state if the documentation is department-wide or if a selection of programs’ documentation is required.</w:t>
                      </w:r>
                    </w:p>
                    <w:p w:rsidR="00AD3D8E" w:rsidRDefault="00AD3D8E" w:rsidP="00AD3D8E">
                      <w:pPr>
                        <w:spacing w:after="0"/>
                        <w:rPr>
                          <w:color w:val="000000" w:themeColor="text1"/>
                          <w:sz w:val="16"/>
                          <w:szCs w:val="16"/>
                        </w:rPr>
                      </w:pPr>
                      <w:r>
                        <w:rPr>
                          <w:color w:val="000000" w:themeColor="text1"/>
                          <w:sz w:val="16"/>
                          <w:szCs w:val="16"/>
                        </w:rPr>
                        <w:t>1.  XX</w:t>
                      </w:r>
                    </w:p>
                    <w:p w:rsidR="00AD3D8E" w:rsidRDefault="00AD3D8E" w:rsidP="00AD3D8E">
                      <w:pPr>
                        <w:spacing w:after="0"/>
                        <w:rPr>
                          <w:color w:val="000000" w:themeColor="text1"/>
                          <w:sz w:val="16"/>
                          <w:szCs w:val="16"/>
                        </w:rPr>
                      </w:pPr>
                      <w:r>
                        <w:rPr>
                          <w:color w:val="000000" w:themeColor="text1"/>
                          <w:sz w:val="16"/>
                          <w:szCs w:val="16"/>
                        </w:rPr>
                        <w:t>2.  XX</w:t>
                      </w:r>
                      <w:r>
                        <w:rPr>
                          <w:color w:val="000000" w:themeColor="text1"/>
                          <w:sz w:val="16"/>
                          <w:szCs w:val="16"/>
                        </w:rPr>
                        <w:tab/>
                        <w:t>a) XX</w:t>
                      </w:r>
                    </w:p>
                    <w:p w:rsidR="00AD3D8E" w:rsidRDefault="00AD3D8E" w:rsidP="00AD3D8E">
                      <w:pPr>
                        <w:spacing w:after="0"/>
                        <w:rPr>
                          <w:color w:val="000000" w:themeColor="text1"/>
                          <w:sz w:val="16"/>
                          <w:szCs w:val="16"/>
                        </w:rPr>
                      </w:pPr>
                      <w:r>
                        <w:rPr>
                          <w:color w:val="000000" w:themeColor="text1"/>
                          <w:sz w:val="16"/>
                          <w:szCs w:val="16"/>
                        </w:rPr>
                        <w:tab/>
                        <w:t>b) XX</w:t>
                      </w:r>
                    </w:p>
                    <w:p w:rsidR="00AD3D8E" w:rsidRDefault="00AD3D8E" w:rsidP="00AD3D8E">
                      <w:pPr>
                        <w:spacing w:after="0"/>
                        <w:rPr>
                          <w:color w:val="000000" w:themeColor="text1"/>
                          <w:sz w:val="16"/>
                          <w:szCs w:val="16"/>
                        </w:rPr>
                      </w:pPr>
                    </w:p>
                  </w:txbxContent>
                </v:textbox>
              </v:rect>
            </w:pict>
          </mc:Fallback>
        </mc:AlternateContent>
      </w: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rPr>
          <w:color w:val="000000" w:themeColor="text1"/>
          <w:sz w:val="24"/>
          <w:szCs w:val="24"/>
        </w:rPr>
      </w:pPr>
    </w:p>
    <w:p w:rsidR="00AD3D8E" w:rsidRDefault="00AD3D8E" w:rsidP="00AD3D8E">
      <w:pPr>
        <w:pStyle w:val="NoSpacing"/>
        <w:ind w:left="720"/>
        <w:rPr>
          <w:color w:val="000000" w:themeColor="text1"/>
          <w:sz w:val="20"/>
          <w:szCs w:val="20"/>
        </w:rPr>
      </w:pPr>
    </w:p>
    <w:p w:rsidR="00AD3D8E" w:rsidRDefault="00AD3D8E" w:rsidP="00AD3D8E">
      <w:pPr>
        <w:pStyle w:val="NoSpacing"/>
        <w:ind w:left="720"/>
        <w:rPr>
          <w:color w:val="000000" w:themeColor="text1"/>
          <w:sz w:val="20"/>
          <w:szCs w:val="20"/>
        </w:rPr>
      </w:pPr>
    </w:p>
    <w:p w:rsidR="00AD3D8E" w:rsidRDefault="00AD3D8E" w:rsidP="00AD3D8E">
      <w:pPr>
        <w:pStyle w:val="NoSpacing"/>
        <w:numPr>
          <w:ilvl w:val="0"/>
          <w:numId w:val="1"/>
        </w:numPr>
        <w:rPr>
          <w:b/>
          <w:color w:val="000000" w:themeColor="text1"/>
        </w:rPr>
      </w:pPr>
      <w:r>
        <w:rPr>
          <w:b/>
          <w:color w:val="000000" w:themeColor="text1"/>
        </w:rPr>
        <w:t>Read the Domain, Standard, and Measure</w:t>
      </w:r>
    </w:p>
    <w:p w:rsidR="00AD3D8E" w:rsidRDefault="00AD3D8E" w:rsidP="00AD3D8E">
      <w:pPr>
        <w:pStyle w:val="NoSpacing"/>
        <w:numPr>
          <w:ilvl w:val="0"/>
          <w:numId w:val="2"/>
        </w:numPr>
        <w:rPr>
          <w:color w:val="000000" w:themeColor="text1"/>
        </w:rPr>
      </w:pPr>
      <w:r>
        <w:rPr>
          <w:color w:val="000000" w:themeColor="text1"/>
        </w:rPr>
        <w:t>In order to ensure that the document selected provides evidence of a measure, the health department should consider the required documentation within the context of the domain, standard, and measure.  For example a required piece of documentation may be “documentation of meeting minutes, agendas and/or trainings”.  It is important to review the measure and standards to know what the documentation of meeting minutes agendas and/or trainings should demonstrate (e.g., the provision of technical assistance, collaboration on the health initiative or sharing of information about a public health policy).</w:t>
      </w:r>
    </w:p>
    <w:p w:rsidR="00AD3D8E" w:rsidRDefault="00AD3D8E" w:rsidP="00AD3D8E">
      <w:pPr>
        <w:pStyle w:val="NoSpacing"/>
        <w:ind w:left="720"/>
        <w:rPr>
          <w:color w:val="000000" w:themeColor="text1"/>
        </w:rPr>
      </w:pPr>
    </w:p>
    <w:p w:rsidR="00AD3D8E" w:rsidRDefault="00AD3D8E" w:rsidP="00AD3D8E">
      <w:pPr>
        <w:pStyle w:val="NoSpacing"/>
        <w:numPr>
          <w:ilvl w:val="0"/>
          <w:numId w:val="1"/>
        </w:numPr>
        <w:rPr>
          <w:b/>
          <w:color w:val="000000" w:themeColor="text1"/>
        </w:rPr>
      </w:pPr>
      <w:r>
        <w:rPr>
          <w:b/>
          <w:color w:val="000000" w:themeColor="text1"/>
        </w:rPr>
        <w:t>Read the “Purpose” of the measure</w:t>
      </w:r>
    </w:p>
    <w:p w:rsidR="00AD3D8E" w:rsidRDefault="00AD3D8E" w:rsidP="00AD3D8E">
      <w:pPr>
        <w:pStyle w:val="NoSpacing"/>
        <w:numPr>
          <w:ilvl w:val="0"/>
          <w:numId w:val="1"/>
        </w:numPr>
        <w:rPr>
          <w:b/>
          <w:color w:val="000000" w:themeColor="text1"/>
        </w:rPr>
      </w:pPr>
      <w:r>
        <w:rPr>
          <w:b/>
          <w:color w:val="000000" w:themeColor="text1"/>
        </w:rPr>
        <w:t>Review the “Significance”</w:t>
      </w:r>
    </w:p>
    <w:p w:rsidR="00AD3D8E" w:rsidRDefault="00AD3D8E" w:rsidP="00AD3D8E">
      <w:pPr>
        <w:pStyle w:val="NoSpacing"/>
        <w:numPr>
          <w:ilvl w:val="0"/>
          <w:numId w:val="1"/>
        </w:numPr>
        <w:rPr>
          <w:b/>
          <w:color w:val="000000" w:themeColor="text1"/>
        </w:rPr>
      </w:pPr>
      <w:r>
        <w:rPr>
          <w:b/>
        </w:rPr>
        <w:t>Read the “Guidance”</w:t>
      </w:r>
    </w:p>
    <w:p w:rsidR="00AD3D8E" w:rsidRDefault="00AD3D8E" w:rsidP="00AD3D8E">
      <w:pPr>
        <w:pStyle w:val="NoSpacing"/>
        <w:ind w:left="720"/>
        <w:rPr>
          <w:color w:val="000000" w:themeColor="text1"/>
        </w:rPr>
      </w:pPr>
    </w:p>
    <w:p w:rsidR="00AD3D8E" w:rsidRDefault="00AD3D8E" w:rsidP="00AD3D8E">
      <w:pPr>
        <w:pStyle w:val="NoSpacing"/>
        <w:numPr>
          <w:ilvl w:val="0"/>
          <w:numId w:val="2"/>
        </w:numPr>
        <w:rPr>
          <w:color w:val="000000" w:themeColor="text1"/>
        </w:rPr>
      </w:pPr>
      <w:r>
        <w:rPr>
          <w:color w:val="000000" w:themeColor="text1"/>
        </w:rPr>
        <w:lastRenderedPageBreak/>
        <w:t>The “Guidance” section provides guidance specific to the required documentation and provides a detailed explanation of the required documentation.  It states if the documentation is department-wide or if a section of program’s documentation is required.  The document selected should be specific to that measure’s requirement and the guidance provided.</w:t>
      </w:r>
    </w:p>
    <w:p w:rsidR="00AD3D8E" w:rsidRDefault="00AD3D8E" w:rsidP="00AD3D8E">
      <w:pPr>
        <w:pStyle w:val="NoSpacing"/>
        <w:rPr>
          <w:color w:val="000000" w:themeColor="text1"/>
        </w:rPr>
      </w:pPr>
    </w:p>
    <w:p w:rsidR="00AD3D8E" w:rsidRDefault="00AD3D8E" w:rsidP="00AD3D8E">
      <w:pPr>
        <w:pStyle w:val="NoSpacing"/>
        <w:rPr>
          <w:sz w:val="24"/>
          <w:szCs w:val="24"/>
        </w:rPr>
      </w:pPr>
      <w:r>
        <w:rPr>
          <w:sz w:val="24"/>
          <w:szCs w:val="24"/>
        </w:rPr>
        <w:sym w:font="Wingdings" w:char="F0A8"/>
      </w:r>
      <w:r>
        <w:rPr>
          <w:sz w:val="24"/>
          <w:szCs w:val="24"/>
        </w:rPr>
        <w:t xml:space="preserve">  </w:t>
      </w:r>
      <w:r>
        <w:rPr>
          <w:b/>
          <w:sz w:val="24"/>
          <w:szCs w:val="24"/>
        </w:rPr>
        <w:t>Selection – Document Topic Areas and Content</w:t>
      </w:r>
    </w:p>
    <w:p w:rsidR="00AD3D8E" w:rsidRDefault="00AD3D8E" w:rsidP="00AD3D8E">
      <w:pPr>
        <w:pStyle w:val="NoSpacing"/>
        <w:rPr>
          <w:sz w:val="24"/>
          <w:szCs w:val="24"/>
        </w:rPr>
      </w:pPr>
    </w:p>
    <w:p w:rsidR="00AD3D8E" w:rsidRDefault="00AD3D8E" w:rsidP="00AD3D8E">
      <w:pPr>
        <w:pStyle w:val="NoSpacing"/>
        <w:numPr>
          <w:ilvl w:val="0"/>
          <w:numId w:val="3"/>
        </w:numPr>
        <w:rPr>
          <w:color w:val="000000" w:themeColor="text1"/>
        </w:rPr>
      </w:pPr>
      <w:r>
        <w:rPr>
          <w:color w:val="000000" w:themeColor="text1"/>
        </w:rPr>
        <w:t>Documents selected should be the most direct and applicable evidence available to meet the documentation requirement.  Two examples are typically required for each measure unless otherwise stated</w:t>
      </w:r>
    </w:p>
    <w:p w:rsidR="00AD3D8E" w:rsidRDefault="00AD3D8E" w:rsidP="00AD3D8E">
      <w:pPr>
        <w:pStyle w:val="NoSpacing"/>
        <w:ind w:left="360"/>
        <w:rPr>
          <w:color w:val="000000" w:themeColor="text1"/>
          <w:sz w:val="24"/>
          <w:szCs w:val="24"/>
        </w:rPr>
      </w:pPr>
    </w:p>
    <w:p w:rsidR="00AD3D8E" w:rsidRDefault="00AD3D8E" w:rsidP="00AD3D8E">
      <w:pPr>
        <w:pStyle w:val="NoSpacing"/>
        <w:rPr>
          <w:color w:val="000000" w:themeColor="text1"/>
          <w:sz w:val="24"/>
          <w:szCs w:val="24"/>
        </w:rPr>
      </w:pPr>
      <w:r>
        <w:rPr>
          <w:color w:val="000000" w:themeColor="text1"/>
          <w:sz w:val="24"/>
          <w:szCs w:val="24"/>
        </w:rPr>
        <w:t>IDPH ACCREDITAION DOCUMENT GUIDANCE CHECKLIST</w:t>
      </w:r>
    </w:p>
    <w:p w:rsidR="00AD3D8E" w:rsidRDefault="00AD3D8E" w:rsidP="00AD3D8E">
      <w:pPr>
        <w:pStyle w:val="NoSpacing"/>
        <w:numPr>
          <w:ilvl w:val="0"/>
          <w:numId w:val="3"/>
        </w:numPr>
        <w:rPr>
          <w:b/>
          <w:color w:val="000000" w:themeColor="text1"/>
          <w:sz w:val="24"/>
          <w:szCs w:val="24"/>
        </w:rPr>
      </w:pPr>
      <w:r>
        <w:rPr>
          <w:b/>
          <w:color w:val="000000" w:themeColor="text1"/>
          <w:sz w:val="24"/>
          <w:szCs w:val="24"/>
        </w:rPr>
        <w:t>Documents should reflect the following public health areas within the department</w:t>
      </w:r>
    </w:p>
    <w:p w:rsidR="00AD3D8E" w:rsidRDefault="00AD3D8E" w:rsidP="00AD3D8E">
      <w:pPr>
        <w:pStyle w:val="NoSpacing"/>
        <w:ind w:left="720"/>
        <w:rPr>
          <w:color w:val="000000" w:themeColor="text1"/>
          <w:sz w:val="24"/>
          <w:szCs w:val="24"/>
        </w:rPr>
      </w:pPr>
    </w:p>
    <w:p w:rsidR="00AD3D8E" w:rsidRDefault="00AD3D8E" w:rsidP="00AD3D8E">
      <w:pPr>
        <w:pStyle w:val="NoSpacing"/>
        <w:numPr>
          <w:ilvl w:val="0"/>
          <w:numId w:val="2"/>
        </w:numPr>
        <w:rPr>
          <w:color w:val="000000" w:themeColor="text1"/>
          <w:sz w:val="24"/>
          <w:szCs w:val="24"/>
        </w:rPr>
      </w:pPr>
      <w:r>
        <w:rPr>
          <w:color w:val="000000" w:themeColor="text1"/>
          <w:sz w:val="24"/>
          <w:szCs w:val="24"/>
        </w:rPr>
        <w:t>Access to clinical services</w:t>
      </w:r>
    </w:p>
    <w:p w:rsidR="00AD3D8E" w:rsidRDefault="00AD3D8E" w:rsidP="00AD3D8E">
      <w:pPr>
        <w:pStyle w:val="NoSpacing"/>
        <w:numPr>
          <w:ilvl w:val="0"/>
          <w:numId w:val="2"/>
        </w:numPr>
        <w:rPr>
          <w:color w:val="000000" w:themeColor="text1"/>
          <w:sz w:val="24"/>
          <w:szCs w:val="24"/>
        </w:rPr>
      </w:pPr>
      <w:r>
        <w:rPr>
          <w:color w:val="000000" w:themeColor="text1"/>
          <w:sz w:val="24"/>
          <w:szCs w:val="24"/>
        </w:rPr>
        <w:t>Chronic disease prevention and control</w:t>
      </w:r>
    </w:p>
    <w:p w:rsidR="00AD3D8E" w:rsidRDefault="00AD3D8E" w:rsidP="00AD3D8E">
      <w:pPr>
        <w:pStyle w:val="NoSpacing"/>
        <w:numPr>
          <w:ilvl w:val="0"/>
          <w:numId w:val="2"/>
        </w:numPr>
        <w:rPr>
          <w:color w:val="000000" w:themeColor="text1"/>
          <w:sz w:val="24"/>
          <w:szCs w:val="24"/>
        </w:rPr>
      </w:pPr>
      <w:r>
        <w:rPr>
          <w:color w:val="000000" w:themeColor="text1"/>
          <w:sz w:val="24"/>
          <w:szCs w:val="24"/>
        </w:rPr>
        <w:t>Communicable disease</w:t>
      </w:r>
    </w:p>
    <w:p w:rsidR="00AD3D8E" w:rsidRDefault="00AD3D8E" w:rsidP="00AD3D8E">
      <w:pPr>
        <w:pStyle w:val="NoSpacing"/>
        <w:numPr>
          <w:ilvl w:val="0"/>
          <w:numId w:val="2"/>
        </w:numPr>
        <w:rPr>
          <w:color w:val="000000" w:themeColor="text1"/>
          <w:sz w:val="24"/>
          <w:szCs w:val="24"/>
        </w:rPr>
      </w:pPr>
      <w:r>
        <w:rPr>
          <w:color w:val="000000" w:themeColor="text1"/>
          <w:sz w:val="24"/>
          <w:szCs w:val="24"/>
        </w:rPr>
        <w:t>Community Health</w:t>
      </w:r>
    </w:p>
    <w:p w:rsidR="00AD3D8E" w:rsidRDefault="00AD3D8E" w:rsidP="00AD3D8E">
      <w:pPr>
        <w:pStyle w:val="NoSpacing"/>
        <w:numPr>
          <w:ilvl w:val="0"/>
          <w:numId w:val="2"/>
        </w:numPr>
        <w:rPr>
          <w:color w:val="000000" w:themeColor="text1"/>
          <w:sz w:val="24"/>
          <w:szCs w:val="24"/>
        </w:rPr>
      </w:pPr>
      <w:r>
        <w:rPr>
          <w:color w:val="000000" w:themeColor="text1"/>
          <w:sz w:val="24"/>
          <w:szCs w:val="24"/>
        </w:rPr>
        <w:t>Environmental public health</w:t>
      </w:r>
    </w:p>
    <w:p w:rsidR="00AD3D8E" w:rsidRDefault="00AD3D8E" w:rsidP="00AD3D8E">
      <w:pPr>
        <w:pStyle w:val="NoSpacing"/>
        <w:numPr>
          <w:ilvl w:val="0"/>
          <w:numId w:val="2"/>
        </w:numPr>
        <w:rPr>
          <w:color w:val="000000" w:themeColor="text1"/>
          <w:sz w:val="24"/>
          <w:szCs w:val="24"/>
        </w:rPr>
      </w:pPr>
      <w:r>
        <w:rPr>
          <w:color w:val="000000" w:themeColor="text1"/>
          <w:sz w:val="24"/>
          <w:szCs w:val="24"/>
        </w:rPr>
        <w:t xml:space="preserve">Governance </w:t>
      </w:r>
    </w:p>
    <w:p w:rsidR="00AD3D8E" w:rsidRDefault="00AD3D8E" w:rsidP="00AD3D8E">
      <w:pPr>
        <w:pStyle w:val="NoSpacing"/>
        <w:numPr>
          <w:ilvl w:val="0"/>
          <w:numId w:val="2"/>
        </w:numPr>
        <w:rPr>
          <w:color w:val="000000" w:themeColor="text1"/>
          <w:sz w:val="24"/>
          <w:szCs w:val="24"/>
        </w:rPr>
      </w:pPr>
      <w:r>
        <w:rPr>
          <w:color w:val="000000" w:themeColor="text1"/>
          <w:sz w:val="24"/>
          <w:szCs w:val="24"/>
        </w:rPr>
        <w:t>Health education</w:t>
      </w:r>
    </w:p>
    <w:p w:rsidR="00AD3D8E" w:rsidRDefault="00AD3D8E" w:rsidP="00AD3D8E">
      <w:pPr>
        <w:pStyle w:val="NoSpacing"/>
        <w:numPr>
          <w:ilvl w:val="0"/>
          <w:numId w:val="2"/>
        </w:numPr>
        <w:rPr>
          <w:color w:val="000000" w:themeColor="text1"/>
          <w:sz w:val="24"/>
          <w:szCs w:val="24"/>
        </w:rPr>
      </w:pPr>
      <w:r>
        <w:rPr>
          <w:color w:val="000000" w:themeColor="text1"/>
          <w:sz w:val="24"/>
          <w:szCs w:val="24"/>
        </w:rPr>
        <w:t>Health promotion</w:t>
      </w:r>
    </w:p>
    <w:p w:rsidR="00AD3D8E" w:rsidRDefault="00AD3D8E" w:rsidP="00AD3D8E">
      <w:pPr>
        <w:pStyle w:val="NoSpacing"/>
        <w:numPr>
          <w:ilvl w:val="0"/>
          <w:numId w:val="2"/>
        </w:numPr>
        <w:rPr>
          <w:color w:val="000000" w:themeColor="text1"/>
          <w:sz w:val="24"/>
          <w:szCs w:val="24"/>
        </w:rPr>
      </w:pPr>
      <w:r>
        <w:rPr>
          <w:color w:val="000000" w:themeColor="text1"/>
          <w:sz w:val="24"/>
          <w:szCs w:val="24"/>
        </w:rPr>
        <w:t>Injury prevention</w:t>
      </w:r>
    </w:p>
    <w:p w:rsidR="00AD3D8E" w:rsidRDefault="00AD3D8E" w:rsidP="00AD3D8E">
      <w:pPr>
        <w:pStyle w:val="NoSpacing"/>
        <w:numPr>
          <w:ilvl w:val="0"/>
          <w:numId w:val="2"/>
        </w:numPr>
        <w:rPr>
          <w:color w:val="000000" w:themeColor="text1"/>
          <w:sz w:val="24"/>
          <w:szCs w:val="24"/>
        </w:rPr>
      </w:pPr>
      <w:r>
        <w:rPr>
          <w:color w:val="000000" w:themeColor="text1"/>
          <w:sz w:val="24"/>
          <w:szCs w:val="24"/>
        </w:rPr>
        <w:t>Management/administration</w:t>
      </w:r>
    </w:p>
    <w:p w:rsidR="00AD3D8E" w:rsidRDefault="00AD3D8E" w:rsidP="00AD3D8E">
      <w:pPr>
        <w:pStyle w:val="NoSpacing"/>
        <w:numPr>
          <w:ilvl w:val="0"/>
          <w:numId w:val="2"/>
        </w:numPr>
        <w:rPr>
          <w:color w:val="000000" w:themeColor="text1"/>
          <w:sz w:val="24"/>
          <w:szCs w:val="24"/>
        </w:rPr>
      </w:pPr>
      <w:r>
        <w:rPr>
          <w:color w:val="000000" w:themeColor="text1"/>
          <w:sz w:val="24"/>
          <w:szCs w:val="24"/>
        </w:rPr>
        <w:t>Maternal and child health</w:t>
      </w:r>
    </w:p>
    <w:p w:rsidR="00AD3D8E" w:rsidRDefault="00AD3D8E" w:rsidP="00AD3D8E">
      <w:pPr>
        <w:pStyle w:val="NoSpacing"/>
        <w:numPr>
          <w:ilvl w:val="0"/>
          <w:numId w:val="2"/>
        </w:numPr>
        <w:rPr>
          <w:color w:val="000000" w:themeColor="text1"/>
          <w:sz w:val="24"/>
          <w:szCs w:val="24"/>
        </w:rPr>
      </w:pPr>
      <w:r>
        <w:rPr>
          <w:color w:val="000000" w:themeColor="text1"/>
          <w:sz w:val="24"/>
          <w:szCs w:val="24"/>
        </w:rPr>
        <w:t>Public health emergency preparedness</w:t>
      </w:r>
    </w:p>
    <w:p w:rsidR="00AD3D8E" w:rsidRDefault="00AD3D8E" w:rsidP="00AD3D8E">
      <w:pPr>
        <w:pStyle w:val="NoSpacing"/>
        <w:numPr>
          <w:ilvl w:val="0"/>
          <w:numId w:val="2"/>
        </w:numPr>
        <w:rPr>
          <w:color w:val="000000" w:themeColor="text1"/>
          <w:sz w:val="24"/>
          <w:szCs w:val="24"/>
        </w:rPr>
      </w:pPr>
      <w:r>
        <w:rPr>
          <w:color w:val="000000" w:themeColor="text1"/>
          <w:sz w:val="24"/>
          <w:szCs w:val="24"/>
        </w:rPr>
        <w:t>Public health laboratory services</w:t>
      </w:r>
    </w:p>
    <w:p w:rsidR="00AD3D8E" w:rsidRDefault="00AD3D8E" w:rsidP="00AD3D8E">
      <w:pPr>
        <w:pStyle w:val="NoSpacing"/>
        <w:rPr>
          <w:color w:val="000000" w:themeColor="text1"/>
          <w:sz w:val="24"/>
          <w:szCs w:val="24"/>
        </w:rPr>
      </w:pPr>
    </w:p>
    <w:p w:rsidR="00AD3D8E" w:rsidRDefault="00AD3D8E" w:rsidP="00AD3D8E">
      <w:pPr>
        <w:pStyle w:val="NoSpacing"/>
        <w:numPr>
          <w:ilvl w:val="0"/>
          <w:numId w:val="3"/>
        </w:numPr>
        <w:rPr>
          <w:color w:val="000000" w:themeColor="text1"/>
        </w:rPr>
      </w:pPr>
      <w:r>
        <w:rPr>
          <w:color w:val="000000" w:themeColor="text1"/>
        </w:rPr>
        <w:t>PHAB’s scope of accreditation authority does not extend to the following areas and documents provided from these program areas will not be accepted for public health department accreditation:</w:t>
      </w:r>
    </w:p>
    <w:p w:rsidR="00AD3D8E" w:rsidRDefault="00AD3D8E" w:rsidP="00AD3D8E">
      <w:pPr>
        <w:pStyle w:val="NoSpacing"/>
        <w:ind w:left="720"/>
        <w:rPr>
          <w:color w:val="000000" w:themeColor="text1"/>
        </w:rPr>
      </w:pPr>
    </w:p>
    <w:p w:rsidR="00AD3D8E" w:rsidRDefault="00AD3D8E" w:rsidP="00AD3D8E">
      <w:pPr>
        <w:pStyle w:val="NoSpacing"/>
        <w:numPr>
          <w:ilvl w:val="0"/>
          <w:numId w:val="4"/>
        </w:numPr>
        <w:rPr>
          <w:color w:val="000000" w:themeColor="text1"/>
        </w:rPr>
      </w:pPr>
      <w:r>
        <w:rPr>
          <w:color w:val="000000" w:themeColor="text1"/>
        </w:rPr>
        <w:t>Mental health</w:t>
      </w:r>
    </w:p>
    <w:p w:rsidR="00AD3D8E" w:rsidRDefault="00AD3D8E" w:rsidP="00AD3D8E">
      <w:pPr>
        <w:pStyle w:val="NoSpacing"/>
        <w:numPr>
          <w:ilvl w:val="0"/>
          <w:numId w:val="4"/>
        </w:numPr>
        <w:rPr>
          <w:color w:val="000000" w:themeColor="text1"/>
        </w:rPr>
      </w:pPr>
      <w:r>
        <w:rPr>
          <w:color w:val="000000" w:themeColor="text1"/>
        </w:rPr>
        <w:t>Substance abuse</w:t>
      </w:r>
    </w:p>
    <w:p w:rsidR="00AD3D8E" w:rsidRDefault="00AD3D8E" w:rsidP="00AD3D8E">
      <w:pPr>
        <w:pStyle w:val="NoSpacing"/>
        <w:numPr>
          <w:ilvl w:val="0"/>
          <w:numId w:val="4"/>
        </w:numPr>
        <w:rPr>
          <w:color w:val="000000" w:themeColor="text1"/>
        </w:rPr>
      </w:pPr>
      <w:r>
        <w:rPr>
          <w:color w:val="000000" w:themeColor="text1"/>
        </w:rPr>
        <w:t>Primary care</w:t>
      </w:r>
    </w:p>
    <w:p w:rsidR="00AD3D8E" w:rsidRDefault="00AD3D8E" w:rsidP="00AD3D8E">
      <w:pPr>
        <w:pStyle w:val="NoSpacing"/>
        <w:numPr>
          <w:ilvl w:val="0"/>
          <w:numId w:val="4"/>
        </w:numPr>
        <w:rPr>
          <w:color w:val="000000" w:themeColor="text1"/>
        </w:rPr>
      </w:pPr>
      <w:r>
        <w:rPr>
          <w:color w:val="000000" w:themeColor="text1"/>
        </w:rPr>
        <w:t>Human services</w:t>
      </w:r>
    </w:p>
    <w:p w:rsidR="00AD3D8E" w:rsidRDefault="00AD3D8E" w:rsidP="00AD3D8E">
      <w:pPr>
        <w:pStyle w:val="NoSpacing"/>
        <w:numPr>
          <w:ilvl w:val="0"/>
          <w:numId w:val="4"/>
        </w:numPr>
        <w:rPr>
          <w:color w:val="000000" w:themeColor="text1"/>
        </w:rPr>
      </w:pPr>
      <w:r>
        <w:rPr>
          <w:color w:val="000000" w:themeColor="text1"/>
        </w:rPr>
        <w:t>Social services (including domestic violence)</w:t>
      </w:r>
    </w:p>
    <w:p w:rsidR="00AD3D8E" w:rsidRDefault="00AD3D8E" w:rsidP="00AD3D8E">
      <w:pPr>
        <w:pStyle w:val="NoSpacing"/>
        <w:numPr>
          <w:ilvl w:val="0"/>
          <w:numId w:val="4"/>
        </w:numPr>
        <w:rPr>
          <w:color w:val="000000" w:themeColor="text1"/>
        </w:rPr>
      </w:pPr>
      <w:r>
        <w:rPr>
          <w:color w:val="000000" w:themeColor="text1"/>
        </w:rPr>
        <w:t>Health care facilities</w:t>
      </w:r>
    </w:p>
    <w:p w:rsidR="00AD3D8E" w:rsidRDefault="00AD3D8E" w:rsidP="00AD3D8E">
      <w:pPr>
        <w:pStyle w:val="NoSpacing"/>
        <w:numPr>
          <w:ilvl w:val="0"/>
          <w:numId w:val="4"/>
        </w:numPr>
        <w:rPr>
          <w:color w:val="000000" w:themeColor="text1"/>
        </w:rPr>
      </w:pPr>
      <w:r>
        <w:rPr>
          <w:color w:val="000000" w:themeColor="text1"/>
        </w:rPr>
        <w:t>Professional licensing programs</w:t>
      </w:r>
    </w:p>
    <w:p w:rsidR="00AD3D8E" w:rsidRDefault="00AD3D8E" w:rsidP="00AD3D8E">
      <w:pPr>
        <w:pStyle w:val="NoSpacing"/>
        <w:numPr>
          <w:ilvl w:val="0"/>
          <w:numId w:val="4"/>
        </w:numPr>
        <w:rPr>
          <w:color w:val="000000" w:themeColor="text1"/>
        </w:rPr>
      </w:pPr>
      <w:r>
        <w:rPr>
          <w:color w:val="000000" w:themeColor="text1"/>
        </w:rPr>
        <w:t>Health care financing system (e.g., Medicaid, Medicare)</w:t>
      </w:r>
    </w:p>
    <w:p w:rsidR="00AD3D8E" w:rsidRDefault="00AD3D8E" w:rsidP="00AD3D8E">
      <w:pPr>
        <w:pStyle w:val="NoSpacing"/>
        <w:rPr>
          <w:color w:val="000000" w:themeColor="text1"/>
        </w:rPr>
      </w:pPr>
    </w:p>
    <w:p w:rsidR="00AD3D8E" w:rsidRDefault="00AD3D8E" w:rsidP="00AD3D8E">
      <w:pPr>
        <w:pStyle w:val="NoSpacing"/>
        <w:numPr>
          <w:ilvl w:val="0"/>
          <w:numId w:val="3"/>
        </w:numPr>
        <w:rPr>
          <w:color w:val="000000" w:themeColor="text1"/>
        </w:rPr>
      </w:pPr>
      <w:r>
        <w:rPr>
          <w:b/>
          <w:color w:val="17365D" w:themeColor="text2" w:themeShade="BF"/>
          <w:u w:val="single"/>
        </w:rPr>
        <w:t>Distribution of Information, Technical Assistance and Other Activities</w:t>
      </w:r>
      <w:r>
        <w:rPr>
          <w:color w:val="17365D" w:themeColor="text2" w:themeShade="BF"/>
          <w:u w:val="single"/>
        </w:rPr>
        <w:t xml:space="preserve"> may be documented with e-mails, memoranda, letters, dated distribution lists, phone books, health alerts, faxes, case files, logs attendance logs position descriptions, performance evaluations, brochures, flyers, website screen prints, news release, newsletters, posters, or contracts, </w:t>
      </w:r>
      <w:r>
        <w:rPr>
          <w:b/>
          <w:color w:val="17365D" w:themeColor="text2" w:themeShade="BF"/>
          <w:u w:val="single"/>
        </w:rPr>
        <w:t>Please review the measure for specific information required</w:t>
      </w:r>
      <w:r>
        <w:rPr>
          <w:color w:val="17365D" w:themeColor="text2" w:themeShade="BF"/>
        </w:rPr>
        <w:t>.</w:t>
      </w:r>
      <w:r>
        <w:rPr>
          <w:color w:val="17365D" w:themeColor="text2" w:themeShade="BF"/>
          <w:u w:val="single"/>
        </w:rPr>
        <w:t xml:space="preserve"> </w:t>
      </w:r>
    </w:p>
    <w:p w:rsidR="00AD3D8E" w:rsidRDefault="00AD3D8E" w:rsidP="00AD3D8E">
      <w:pPr>
        <w:pStyle w:val="NoSpacing"/>
        <w:ind w:left="360"/>
        <w:rPr>
          <w:b/>
          <w:color w:val="17365D" w:themeColor="text2" w:themeShade="BF"/>
          <w:u w:val="single"/>
        </w:rPr>
      </w:pPr>
    </w:p>
    <w:p w:rsidR="00AD3D8E" w:rsidRDefault="00AD3D8E" w:rsidP="00AD3D8E">
      <w:pPr>
        <w:pStyle w:val="NoSpacing"/>
        <w:numPr>
          <w:ilvl w:val="0"/>
          <w:numId w:val="3"/>
        </w:numPr>
        <w:rPr>
          <w:color w:val="000000" w:themeColor="text1"/>
        </w:rPr>
      </w:pPr>
      <w:r>
        <w:rPr>
          <w:b/>
          <w:color w:val="000000" w:themeColor="text1"/>
        </w:rPr>
        <w:t>Policies and Processes</w:t>
      </w:r>
      <w:r>
        <w:rPr>
          <w:color w:val="000000" w:themeColor="text1"/>
        </w:rPr>
        <w:t xml:space="preserve"> may be documented with policies, procedures, protocols, standing operating procedures, emergency response/business continuity plans, manuals, flowcharts, organization charts, logic models, or other similar documentation.  </w:t>
      </w:r>
      <w:r>
        <w:rPr>
          <w:b/>
          <w:color w:val="000000" w:themeColor="text1"/>
        </w:rPr>
        <w:t>Please review the measure for specific information required</w:t>
      </w:r>
      <w:r>
        <w:rPr>
          <w:color w:val="000000" w:themeColor="text1"/>
        </w:rPr>
        <w:t>.</w:t>
      </w:r>
    </w:p>
    <w:p w:rsidR="00AD3D8E" w:rsidRDefault="00AD3D8E" w:rsidP="00AD3D8E">
      <w:pPr>
        <w:pStyle w:val="NoSpacing"/>
        <w:ind w:left="720"/>
        <w:rPr>
          <w:color w:val="000000" w:themeColor="text1"/>
        </w:rPr>
      </w:pPr>
    </w:p>
    <w:p w:rsidR="00AD3D8E" w:rsidRDefault="00AD3D8E" w:rsidP="00AD3D8E">
      <w:pPr>
        <w:pStyle w:val="NoSpacing"/>
        <w:numPr>
          <w:ilvl w:val="0"/>
          <w:numId w:val="3"/>
        </w:numPr>
        <w:rPr>
          <w:color w:val="000000" w:themeColor="text1"/>
        </w:rPr>
      </w:pPr>
      <w:r>
        <w:rPr>
          <w:b/>
          <w:color w:val="000000" w:themeColor="text1"/>
        </w:rPr>
        <w:t>Reporting Activities, Data, and</w:t>
      </w:r>
      <w:r>
        <w:rPr>
          <w:color w:val="000000" w:themeColor="text1"/>
        </w:rPr>
        <w:t xml:space="preserve"> Decisions may be documented with health data summaries, survey data summaries, data analyses, audit results, meeting agendas, meeting and committee minutes and packets, after-action evaluations, continuing education tracking reports, work plans, financial reports, quality improvement reports, or other documentation requirements, relevant attachments that are referenced in the minutes or were discussed must be included.  </w:t>
      </w:r>
      <w:r>
        <w:rPr>
          <w:b/>
          <w:color w:val="000000" w:themeColor="text1"/>
        </w:rPr>
        <w:t>Please review the measure for specific information required</w:t>
      </w:r>
      <w:r>
        <w:rPr>
          <w:color w:val="000000" w:themeColor="text1"/>
        </w:rPr>
        <w:t>.</w:t>
      </w:r>
    </w:p>
    <w:p w:rsidR="00AD3D8E" w:rsidRDefault="00AD3D8E" w:rsidP="00AD3D8E">
      <w:pPr>
        <w:pStyle w:val="NoSpacing"/>
        <w:rPr>
          <w:rFonts w:asciiTheme="minorHAnsi" w:eastAsiaTheme="minorHAnsi" w:hAnsiTheme="minorHAnsi" w:cstheme="minorBidi"/>
          <w:color w:val="000000" w:themeColor="text1"/>
        </w:rPr>
      </w:pPr>
    </w:p>
    <w:p w:rsidR="00AD3D8E" w:rsidRDefault="00AD3D8E" w:rsidP="00AD3D8E">
      <w:pPr>
        <w:pStyle w:val="NoSpacing"/>
        <w:rPr>
          <w:sz w:val="24"/>
          <w:szCs w:val="24"/>
        </w:rPr>
      </w:pPr>
      <w:r>
        <w:rPr>
          <w:sz w:val="24"/>
          <w:szCs w:val="24"/>
        </w:rPr>
        <w:sym w:font="Wingdings" w:char="F0A8"/>
      </w:r>
      <w:r>
        <w:rPr>
          <w:sz w:val="24"/>
          <w:szCs w:val="24"/>
        </w:rPr>
        <w:t xml:space="preserve"> </w:t>
      </w:r>
      <w:r>
        <w:rPr>
          <w:b/>
          <w:sz w:val="24"/>
          <w:szCs w:val="24"/>
        </w:rPr>
        <w:t>Selection – Documentation Source</w:t>
      </w:r>
    </w:p>
    <w:p w:rsidR="00AD3D8E" w:rsidRDefault="00AD3D8E" w:rsidP="00AD3D8E">
      <w:pPr>
        <w:pStyle w:val="NoSpacing"/>
        <w:rPr>
          <w:sz w:val="24"/>
          <w:szCs w:val="24"/>
        </w:rPr>
      </w:pPr>
    </w:p>
    <w:p w:rsidR="00AD3D8E" w:rsidRDefault="00AD3D8E" w:rsidP="00AD3D8E">
      <w:pPr>
        <w:pStyle w:val="NoSpacing"/>
        <w:numPr>
          <w:ilvl w:val="0"/>
          <w:numId w:val="5"/>
        </w:numPr>
        <w:rPr>
          <w:color w:val="000000" w:themeColor="text1"/>
        </w:rPr>
      </w:pPr>
      <w:r>
        <w:rPr>
          <w:color w:val="000000" w:themeColor="text1"/>
        </w:rPr>
        <w:t>PHAB looks to see documentation that exists and is in use by the health department being assessed for accreditation regardless of who developed the material.  Many health departments do not provide all public health services directly but have formal agreements, contracts, or partnerships with other organizations or agencies to provide services.  There are many methods for the development of the documents required in the standards. They may be developed by:</w:t>
      </w:r>
    </w:p>
    <w:p w:rsidR="00AD3D8E" w:rsidRDefault="00AD3D8E" w:rsidP="00AD3D8E">
      <w:pPr>
        <w:pStyle w:val="NoSpacing"/>
        <w:ind w:left="1080"/>
        <w:rPr>
          <w:color w:val="000000" w:themeColor="text1"/>
        </w:rPr>
      </w:pPr>
    </w:p>
    <w:p w:rsidR="00AD3D8E" w:rsidRDefault="00AD3D8E" w:rsidP="00AD3D8E">
      <w:pPr>
        <w:pStyle w:val="NoSpacing"/>
        <w:numPr>
          <w:ilvl w:val="0"/>
          <w:numId w:val="6"/>
        </w:numPr>
        <w:rPr>
          <w:color w:val="000000" w:themeColor="text1"/>
          <w:sz w:val="24"/>
          <w:szCs w:val="24"/>
        </w:rPr>
      </w:pPr>
      <w:r>
        <w:rPr>
          <w:color w:val="000000" w:themeColor="text1"/>
          <w:sz w:val="24"/>
          <w:szCs w:val="24"/>
        </w:rPr>
        <w:t>Health department staff</w:t>
      </w:r>
    </w:p>
    <w:p w:rsidR="00AD3D8E" w:rsidRDefault="00AD3D8E" w:rsidP="00AD3D8E">
      <w:pPr>
        <w:pStyle w:val="NoSpacing"/>
        <w:numPr>
          <w:ilvl w:val="0"/>
          <w:numId w:val="2"/>
        </w:numPr>
        <w:rPr>
          <w:color w:val="000000" w:themeColor="text1"/>
        </w:rPr>
      </w:pPr>
      <w:r>
        <w:rPr>
          <w:color w:val="000000" w:themeColor="text1"/>
        </w:rPr>
        <w:t>State health department staff for use by local health departments</w:t>
      </w:r>
    </w:p>
    <w:p w:rsidR="00AD3D8E" w:rsidRDefault="00AD3D8E" w:rsidP="00AD3D8E">
      <w:pPr>
        <w:pStyle w:val="NoSpacing"/>
        <w:numPr>
          <w:ilvl w:val="0"/>
          <w:numId w:val="2"/>
        </w:numPr>
        <w:rPr>
          <w:color w:val="000000" w:themeColor="text1"/>
        </w:rPr>
      </w:pPr>
      <w:r>
        <w:rPr>
          <w:color w:val="000000" w:themeColor="text1"/>
        </w:rPr>
        <w:t>Community partnerships or collaborations</w:t>
      </w:r>
    </w:p>
    <w:p w:rsidR="00AD3D8E" w:rsidRDefault="00AD3D8E" w:rsidP="00AD3D8E">
      <w:pPr>
        <w:pStyle w:val="NoSpacing"/>
        <w:numPr>
          <w:ilvl w:val="0"/>
          <w:numId w:val="2"/>
        </w:numPr>
        <w:rPr>
          <w:color w:val="000000" w:themeColor="text1"/>
        </w:rPr>
      </w:pPr>
      <w:r>
        <w:rPr>
          <w:color w:val="000000" w:themeColor="text1"/>
        </w:rPr>
        <w:t>Partners such as non-profits and academic institutions</w:t>
      </w:r>
    </w:p>
    <w:p w:rsidR="00AD3D8E" w:rsidRDefault="00AD3D8E" w:rsidP="00AD3D8E">
      <w:pPr>
        <w:pStyle w:val="NoSpacing"/>
        <w:numPr>
          <w:ilvl w:val="0"/>
          <w:numId w:val="2"/>
        </w:numPr>
        <w:rPr>
          <w:color w:val="000000" w:themeColor="text1"/>
        </w:rPr>
      </w:pPr>
      <w:r>
        <w:rPr>
          <w:color w:val="000000" w:themeColor="text1"/>
        </w:rPr>
        <w:t>Service providers or consultants under contract</w:t>
      </w:r>
    </w:p>
    <w:p w:rsidR="00AD3D8E" w:rsidRDefault="00AD3D8E" w:rsidP="00AD3D8E">
      <w:pPr>
        <w:pStyle w:val="NoSpacing"/>
        <w:rPr>
          <w:color w:val="000000" w:themeColor="text1"/>
        </w:rPr>
      </w:pPr>
    </w:p>
    <w:p w:rsidR="00AD3D8E" w:rsidRDefault="00AD3D8E" w:rsidP="00AD3D8E">
      <w:pPr>
        <w:pStyle w:val="NoSpacing"/>
        <w:numPr>
          <w:ilvl w:val="0"/>
          <w:numId w:val="3"/>
        </w:numPr>
        <w:rPr>
          <w:color w:val="000000" w:themeColor="text1"/>
        </w:rPr>
      </w:pPr>
      <w:r>
        <w:rPr>
          <w:color w:val="000000" w:themeColor="text1"/>
        </w:rPr>
        <w:t xml:space="preserve">In cases where documents submitted are created by outside entities a health department </w:t>
      </w:r>
      <w:r>
        <w:rPr>
          <w:b/>
          <w:color w:val="000000" w:themeColor="text1"/>
        </w:rPr>
        <w:t>must submit to PHAB formal documentation of the partnership or assignment of responsibility to others</w:t>
      </w:r>
      <w:r>
        <w:rPr>
          <w:color w:val="000000" w:themeColor="text1"/>
        </w:rPr>
        <w:t xml:space="preserve"> (MOU, letter of agreement, contract, legislative action, executive order, ordinance, or rules/regulations).</w:t>
      </w:r>
    </w:p>
    <w:p w:rsidR="00AD3D8E" w:rsidRDefault="00AD3D8E" w:rsidP="00AD3D8E">
      <w:pPr>
        <w:pStyle w:val="NoSpacing"/>
        <w:ind w:left="360"/>
        <w:rPr>
          <w:color w:val="000000" w:themeColor="text1"/>
        </w:rPr>
      </w:pPr>
    </w:p>
    <w:p w:rsidR="00AD3D8E" w:rsidRDefault="00AD3D8E" w:rsidP="00AD3D8E">
      <w:pPr>
        <w:pStyle w:val="NoSpacing"/>
        <w:numPr>
          <w:ilvl w:val="0"/>
          <w:numId w:val="3"/>
        </w:numPr>
        <w:rPr>
          <w:color w:val="000000" w:themeColor="text1"/>
        </w:rPr>
      </w:pPr>
      <w:r>
        <w:rPr>
          <w:color w:val="000000" w:themeColor="text1"/>
        </w:rPr>
        <w:t xml:space="preserve">The responsibility for meeting PHAB standards and measures rests with the health department being reviewed for accreditation, even if the documentation is produced by a partner organization and not by the health department.  </w:t>
      </w:r>
      <w:r>
        <w:rPr>
          <w:b/>
          <w:color w:val="000000" w:themeColor="text1"/>
        </w:rPr>
        <w:t>Health departments should include an explanation with its documentation (through the document narrative) concerning why a measure is met by another organization through an agreement</w:t>
      </w:r>
      <w:r>
        <w:rPr>
          <w:color w:val="000000" w:themeColor="text1"/>
        </w:rPr>
        <w:t>.  Examples include:</w:t>
      </w:r>
    </w:p>
    <w:p w:rsidR="00AD3D8E" w:rsidRDefault="00AD3D8E" w:rsidP="00AD3D8E">
      <w:pPr>
        <w:pStyle w:val="NoSpacing"/>
        <w:rPr>
          <w:color w:val="000000" w:themeColor="text1"/>
        </w:rPr>
      </w:pPr>
    </w:p>
    <w:p w:rsidR="00AD3D8E" w:rsidRDefault="00AD3D8E" w:rsidP="00AD3D8E">
      <w:pPr>
        <w:pStyle w:val="NoSpacing"/>
        <w:numPr>
          <w:ilvl w:val="0"/>
          <w:numId w:val="7"/>
        </w:numPr>
        <w:rPr>
          <w:color w:val="000000" w:themeColor="text1"/>
        </w:rPr>
      </w:pPr>
      <w:r>
        <w:rPr>
          <w:color w:val="000000" w:themeColor="text1"/>
        </w:rPr>
        <w:t>Formal agreements or partnerships with other organizations to provide particular functions or activities.</w:t>
      </w:r>
    </w:p>
    <w:p w:rsidR="00AD3D8E" w:rsidRDefault="00AD3D8E" w:rsidP="00AD3D8E">
      <w:pPr>
        <w:pStyle w:val="NoSpacing"/>
        <w:ind w:left="720"/>
        <w:rPr>
          <w:color w:val="000000" w:themeColor="text1"/>
        </w:rPr>
      </w:pPr>
    </w:p>
    <w:p w:rsidR="00AD3D8E" w:rsidRDefault="00AD3D8E" w:rsidP="00AD3D8E">
      <w:pPr>
        <w:pStyle w:val="NoSpacing"/>
        <w:numPr>
          <w:ilvl w:val="0"/>
          <w:numId w:val="7"/>
        </w:numPr>
        <w:rPr>
          <w:color w:val="000000" w:themeColor="text1"/>
        </w:rPr>
      </w:pPr>
      <w:r>
        <w:rPr>
          <w:color w:val="000000" w:themeColor="text1"/>
        </w:rPr>
        <w:t>Shared functions or services with other governmental agencies.  For example environmental public health is a function that is sometimes provided by another state or local agency.</w:t>
      </w:r>
    </w:p>
    <w:p w:rsidR="00AD3D8E" w:rsidRDefault="00AD3D8E" w:rsidP="00AD3D8E">
      <w:pPr>
        <w:pStyle w:val="NoSpacing"/>
        <w:ind w:left="720"/>
        <w:rPr>
          <w:color w:val="000000" w:themeColor="text1"/>
        </w:rPr>
      </w:pPr>
    </w:p>
    <w:p w:rsidR="00AD3D8E" w:rsidRDefault="00AD3D8E" w:rsidP="00AD3D8E">
      <w:pPr>
        <w:pStyle w:val="NoSpacing"/>
        <w:numPr>
          <w:ilvl w:val="0"/>
          <w:numId w:val="7"/>
        </w:numPr>
        <w:rPr>
          <w:color w:val="000000" w:themeColor="text1"/>
        </w:rPr>
      </w:pPr>
      <w:r>
        <w:rPr>
          <w:color w:val="000000" w:themeColor="text1"/>
        </w:rPr>
        <w:t>Health departments, as agencies that are a part of a larger governmental unit, may utilize the policies, procedures, or functions of the governmental unit.  For example, a health department may utilize the human resources office of the government of which it is a part.</w:t>
      </w:r>
    </w:p>
    <w:p w:rsidR="00AD3D8E" w:rsidRDefault="00AD3D8E" w:rsidP="00AD3D8E">
      <w:pPr>
        <w:pStyle w:val="NoSpacing"/>
        <w:rPr>
          <w:rFonts w:asciiTheme="minorHAnsi" w:eastAsiaTheme="minorHAnsi" w:hAnsiTheme="minorHAnsi" w:cstheme="minorBidi"/>
          <w:color w:val="000000" w:themeColor="text1"/>
        </w:rPr>
      </w:pPr>
    </w:p>
    <w:p w:rsidR="00AD3D8E" w:rsidRDefault="00AD3D8E" w:rsidP="00AD3D8E">
      <w:pPr>
        <w:pStyle w:val="NoSpacing"/>
        <w:numPr>
          <w:ilvl w:val="0"/>
          <w:numId w:val="8"/>
        </w:numPr>
        <w:rPr>
          <w:color w:val="000000" w:themeColor="text1"/>
        </w:rPr>
      </w:pPr>
      <w:r>
        <w:rPr>
          <w:color w:val="000000" w:themeColor="text1"/>
        </w:rPr>
        <w:t>Documents provided by the department do only have to be department-originated policies and procedures.  However policies, procedures, and other documentation must demonstrate that they are applicable to the health department, are utilized by the department, and must meet the measure and requirements for documentation.</w:t>
      </w:r>
    </w:p>
    <w:p w:rsidR="00AD3D8E" w:rsidRDefault="00AD3D8E" w:rsidP="00AD3D8E">
      <w:pPr>
        <w:pStyle w:val="NoSpacing"/>
        <w:ind w:left="780"/>
        <w:rPr>
          <w:color w:val="000000" w:themeColor="text1"/>
        </w:rPr>
      </w:pPr>
    </w:p>
    <w:p w:rsidR="00AD3D8E" w:rsidRDefault="00AD3D8E" w:rsidP="00AD3D8E">
      <w:pPr>
        <w:pStyle w:val="NoSpacing"/>
      </w:pPr>
      <w:r>
        <w:sym w:font="Wingdings" w:char="F0A8"/>
      </w:r>
      <w:r>
        <w:t xml:space="preserve"> </w:t>
      </w:r>
      <w:r>
        <w:rPr>
          <w:b/>
        </w:rPr>
        <w:t>Selection – Other Considerations</w:t>
      </w:r>
    </w:p>
    <w:p w:rsidR="00AD3D8E" w:rsidRDefault="00AD3D8E" w:rsidP="00AD3D8E">
      <w:pPr>
        <w:pStyle w:val="NoSpacing"/>
      </w:pPr>
    </w:p>
    <w:p w:rsidR="00AD3D8E" w:rsidRDefault="00AD3D8E" w:rsidP="00AD3D8E">
      <w:pPr>
        <w:pStyle w:val="NoSpacing"/>
        <w:numPr>
          <w:ilvl w:val="0"/>
          <w:numId w:val="8"/>
        </w:numPr>
      </w:pPr>
      <w:r>
        <w:rPr>
          <w:b/>
        </w:rPr>
        <w:t>Documents selected to support multiple areas under one measure should be consistent</w:t>
      </w:r>
      <w:r>
        <w:t>.  All documents under one measure should address one health department topic, program, plan, policy or other issue of note.</w:t>
      </w:r>
    </w:p>
    <w:p w:rsidR="00AD3D8E" w:rsidRDefault="00AD3D8E" w:rsidP="00AD3D8E">
      <w:pPr>
        <w:pStyle w:val="NoSpacing"/>
        <w:ind w:left="420"/>
      </w:pPr>
    </w:p>
    <w:p w:rsidR="00AD3D8E" w:rsidRDefault="00AD3D8E" w:rsidP="00AD3D8E">
      <w:pPr>
        <w:pStyle w:val="NoSpacing"/>
        <w:numPr>
          <w:ilvl w:val="0"/>
          <w:numId w:val="8"/>
        </w:numPr>
      </w:pPr>
      <w:r>
        <w:rPr>
          <w:b/>
        </w:rPr>
        <w:t>In many cases, a measure requirement only needs to be demonstrated once</w:t>
      </w:r>
      <w:r>
        <w:t xml:space="preserve">, for </w:t>
      </w:r>
      <w:r>
        <w:rPr>
          <w:i/>
        </w:rPr>
        <w:t>example “Measure 3.2.3 A:  Maintain written risk communication plan”</w:t>
      </w:r>
      <w:r>
        <w:t>.  Examples of these types of documentation requirements include department-wide policies (such as human resource policies), procedures, and plans.  In these cases the requirement is for a specific, central document, rather than for multiple examples.</w:t>
      </w:r>
    </w:p>
    <w:p w:rsidR="00AD3D8E" w:rsidRDefault="00AD3D8E" w:rsidP="00AD3D8E">
      <w:pPr>
        <w:pStyle w:val="NoSpacing"/>
        <w:rPr>
          <w:color w:val="000000" w:themeColor="text1"/>
        </w:rPr>
      </w:pPr>
    </w:p>
    <w:p w:rsidR="00AD3D8E" w:rsidRDefault="00AD3D8E" w:rsidP="00AD3D8E">
      <w:pPr>
        <w:pStyle w:val="NoSpacing"/>
        <w:numPr>
          <w:ilvl w:val="0"/>
          <w:numId w:val="8"/>
        </w:numPr>
        <w:rPr>
          <w:color w:val="000000" w:themeColor="text1"/>
        </w:rPr>
      </w:pPr>
      <w:r>
        <w:rPr>
          <w:b/>
          <w:color w:val="000000" w:themeColor="text1"/>
        </w:rPr>
        <w:t>Keep health department acronyms used in documents to a minimum</w:t>
      </w:r>
      <w:r>
        <w:rPr>
          <w:color w:val="000000" w:themeColor="text1"/>
        </w:rPr>
        <w:t>.  If multiple acronyms are sued in a document and are not defined within the document, a brief explanation of the acronyms should be provided in the document narrative.</w:t>
      </w:r>
    </w:p>
    <w:p w:rsidR="00AD3D8E" w:rsidRDefault="00AD3D8E" w:rsidP="00AD3D8E">
      <w:pPr>
        <w:pStyle w:val="NoSpacing"/>
        <w:rPr>
          <w:color w:val="000000" w:themeColor="text1"/>
        </w:rPr>
      </w:pPr>
    </w:p>
    <w:p w:rsidR="00AD3D8E" w:rsidRDefault="00AD3D8E" w:rsidP="00AD3D8E">
      <w:pPr>
        <w:pStyle w:val="NoSpacing"/>
        <w:numPr>
          <w:ilvl w:val="0"/>
          <w:numId w:val="8"/>
        </w:numPr>
        <w:rPr>
          <w:color w:val="000000" w:themeColor="text1"/>
        </w:rPr>
      </w:pPr>
      <w:r>
        <w:rPr>
          <w:color w:val="000000" w:themeColor="text1"/>
        </w:rPr>
        <w:t>Document Reuse</w:t>
      </w:r>
    </w:p>
    <w:p w:rsidR="00AD3D8E" w:rsidRDefault="00AD3D8E" w:rsidP="00AD3D8E">
      <w:pPr>
        <w:pStyle w:val="NoSpacing"/>
        <w:numPr>
          <w:ilvl w:val="0"/>
          <w:numId w:val="9"/>
        </w:numPr>
        <w:rPr>
          <w:color w:val="000000" w:themeColor="text1"/>
        </w:rPr>
      </w:pPr>
      <w:r>
        <w:rPr>
          <w:color w:val="000000" w:themeColor="text1"/>
        </w:rPr>
        <w:t xml:space="preserve">A single document could be used as evidence for more than one measure and may be used multiple times. Or a single page or chapter of a document used for a measure could be used for another measure.  </w:t>
      </w:r>
      <w:r>
        <w:rPr>
          <w:b/>
          <w:color w:val="000000" w:themeColor="text1"/>
        </w:rPr>
        <w:t>The specific section(s) of the document that addresses the measure must be identified, highlighted, and explained in the document narrative</w:t>
      </w:r>
      <w:r>
        <w:rPr>
          <w:color w:val="000000" w:themeColor="text1"/>
        </w:rPr>
        <w:t>.</w:t>
      </w:r>
    </w:p>
    <w:p w:rsidR="00AD3D8E" w:rsidRDefault="00AD3D8E" w:rsidP="00AD3D8E">
      <w:pPr>
        <w:pStyle w:val="NoSpacing"/>
        <w:rPr>
          <w:color w:val="000000" w:themeColor="text1"/>
        </w:rPr>
      </w:pPr>
    </w:p>
    <w:p w:rsidR="00AD3D8E" w:rsidRDefault="00AD3D8E" w:rsidP="00AD3D8E">
      <w:pPr>
        <w:pStyle w:val="NoSpacing"/>
        <w:numPr>
          <w:ilvl w:val="0"/>
          <w:numId w:val="10"/>
        </w:numPr>
        <w:rPr>
          <w:color w:val="000000" w:themeColor="text1"/>
        </w:rPr>
      </w:pPr>
      <w:r>
        <w:rPr>
          <w:color w:val="000000" w:themeColor="text1"/>
        </w:rPr>
        <w:t>Multiple Documents</w:t>
      </w:r>
    </w:p>
    <w:p w:rsidR="00AD3D8E" w:rsidRDefault="00AD3D8E" w:rsidP="00AD3D8E">
      <w:pPr>
        <w:pStyle w:val="NoSpacing"/>
        <w:numPr>
          <w:ilvl w:val="0"/>
          <w:numId w:val="9"/>
        </w:numPr>
        <w:rPr>
          <w:color w:val="000000" w:themeColor="text1"/>
        </w:rPr>
      </w:pPr>
      <w:r>
        <w:rPr>
          <w:color w:val="000000" w:themeColor="text1"/>
        </w:rPr>
        <w:t xml:space="preserve">Documentation submitted to demonstrate conformity to a measure do not have to be presented in a single document; pieces of several documents may be required to Demonstrate conformity with one requirement.  For example, a required set of policies may be contained in several policy documents.  </w:t>
      </w:r>
      <w:r>
        <w:rPr>
          <w:b/>
          <w:color w:val="000000" w:themeColor="text1"/>
        </w:rPr>
        <w:t>An explanation must be included in the document narrative that describes how the documents, taken together, demonstrate conformity with the measure</w:t>
      </w:r>
      <w:r>
        <w:rPr>
          <w:color w:val="000000" w:themeColor="text1"/>
        </w:rPr>
        <w:t>.</w:t>
      </w: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p>
    <w:p w:rsidR="00AD3D8E" w:rsidRDefault="00AD3D8E" w:rsidP="00AD3D8E">
      <w:pPr>
        <w:pStyle w:val="NoSpacing"/>
        <w:rPr>
          <w:color w:val="000000" w:themeColor="text1"/>
        </w:rPr>
      </w:pPr>
      <w:r>
        <w:rPr>
          <w:color w:val="000000" w:themeColor="text1"/>
        </w:rPr>
        <w:t>Sources:</w:t>
      </w:r>
    </w:p>
    <w:p w:rsidR="00AD3D8E" w:rsidRDefault="00AD3D8E" w:rsidP="00AD3D8E">
      <w:pPr>
        <w:pStyle w:val="NoSpacing"/>
        <w:rPr>
          <w:color w:val="000000" w:themeColor="text1"/>
        </w:rPr>
      </w:pPr>
      <w:r>
        <w:rPr>
          <w:color w:val="000000" w:themeColor="text1"/>
        </w:rPr>
        <w:t xml:space="preserve">Public Health Accreditation Board. (2011). Standards and Measures Version 1.0 Retrieved from </w:t>
      </w:r>
    </w:p>
    <w:p w:rsidR="00AD3D8E" w:rsidRDefault="00AD3D8E" w:rsidP="00AD3D8E">
      <w:pPr>
        <w:pStyle w:val="NoSpacing"/>
        <w:rPr>
          <w:color w:val="000000" w:themeColor="text1"/>
        </w:rPr>
      </w:pPr>
      <w:r>
        <w:rPr>
          <w:color w:val="000000" w:themeColor="text1"/>
        </w:rPr>
        <w:tab/>
      </w:r>
      <w:hyperlink r:id="rId8" w:history="1">
        <w:r>
          <w:rPr>
            <w:rStyle w:val="Hyperlink"/>
            <w:color w:val="000000" w:themeColor="text1"/>
          </w:rPr>
          <w:t>http://www.phaboard.org/wp-content/uploads/PHAB-Standards-and-Measures-Version-1.0.pdf</w:t>
        </w:r>
      </w:hyperlink>
    </w:p>
    <w:p w:rsidR="00AD3D8E" w:rsidRDefault="00AD3D8E" w:rsidP="00AD3D8E">
      <w:pPr>
        <w:pStyle w:val="NoSpacing"/>
        <w:rPr>
          <w:color w:val="000000" w:themeColor="text1"/>
        </w:rPr>
      </w:pPr>
    </w:p>
    <w:p w:rsidR="00AD3D8E" w:rsidRDefault="00AD3D8E" w:rsidP="00AD3D8E">
      <w:pPr>
        <w:pStyle w:val="NoSpacing"/>
        <w:rPr>
          <w:color w:val="000000" w:themeColor="text1"/>
        </w:rPr>
      </w:pPr>
      <w:r>
        <w:rPr>
          <w:color w:val="000000" w:themeColor="text1"/>
        </w:rPr>
        <w:t xml:space="preserve">Public Health Accreditation Board. (2011). National Public Health Department Accreditation Documentation Guidance </w:t>
      </w:r>
      <w:r>
        <w:rPr>
          <w:color w:val="000000" w:themeColor="text1"/>
        </w:rPr>
        <w:tab/>
        <w:t>Version 1.0 Retrieved from http:/www.phaboard.org/we-content/uploads/National-Public-Health-Department-</w:t>
      </w:r>
      <w:r>
        <w:rPr>
          <w:color w:val="000000" w:themeColor="text1"/>
        </w:rPr>
        <w:tab/>
        <w:t>Accreditation-Documentation-Guidance-Version-1.0.pdf</w:t>
      </w:r>
    </w:p>
    <w:p w:rsidR="00AD3D8E" w:rsidRDefault="00AD3D8E" w:rsidP="00AD3D8E">
      <w:pPr>
        <w:pStyle w:val="NoSpacing"/>
        <w:rPr>
          <w:color w:val="000000" w:themeColor="text1"/>
        </w:rPr>
      </w:pPr>
    </w:p>
    <w:p w:rsidR="00AD3D8E" w:rsidRDefault="00AD3D8E" w:rsidP="00AD3D8E">
      <w:pPr>
        <w:pStyle w:val="NoSpacing"/>
        <w:rPr>
          <w:color w:val="000000" w:themeColor="text1"/>
        </w:rPr>
      </w:pPr>
      <w:r>
        <w:rPr>
          <w:color w:val="000000" w:themeColor="text1"/>
        </w:rPr>
        <w:t xml:space="preserve">Ramsey, S. (2014). Illinois Department of Public Health Preparing for National Accreditation Review PHAB Version </w:t>
      </w:r>
    </w:p>
    <w:p w:rsidR="00AD3D8E" w:rsidRDefault="00AD3D8E" w:rsidP="00AD3D8E">
      <w:pPr>
        <w:pStyle w:val="NoSpacing"/>
        <w:ind w:firstLine="720"/>
        <w:rPr>
          <w:color w:val="000000" w:themeColor="text1"/>
        </w:rPr>
      </w:pPr>
      <w:r>
        <w:rPr>
          <w:color w:val="000000" w:themeColor="text1"/>
        </w:rPr>
        <w:t>1.0 (Presentation).  Pearls of Wisdom Consulting LLC.</w:t>
      </w: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AD3D8E" w:rsidRDefault="00AD3D8E" w:rsidP="00AD3D8E">
      <w:pPr>
        <w:pStyle w:val="NoSpacing"/>
        <w:ind w:firstLine="720"/>
        <w:rPr>
          <w:color w:val="000000" w:themeColor="text1"/>
        </w:rPr>
      </w:pPr>
    </w:p>
    <w:p w:rsidR="007F44F0" w:rsidRDefault="005E0702" w:rsidP="00AD3D8E">
      <w:pPr>
        <w:spacing w:after="0"/>
      </w:pPr>
    </w:p>
    <w:sectPr w:rsidR="007F44F0" w:rsidSect="00AD3D8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02" w:rsidRDefault="005E0702" w:rsidP="0002322B">
      <w:pPr>
        <w:spacing w:after="0" w:line="240" w:lineRule="auto"/>
      </w:pPr>
      <w:r>
        <w:separator/>
      </w:r>
    </w:p>
  </w:endnote>
  <w:endnote w:type="continuationSeparator" w:id="0">
    <w:p w:rsidR="005E0702" w:rsidRDefault="005E0702" w:rsidP="0002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Example provided by the Illinois Department of Public Health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D505A" w:rsidRPr="002D505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2322B" w:rsidRDefault="00023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02" w:rsidRDefault="005E0702" w:rsidP="0002322B">
      <w:pPr>
        <w:spacing w:after="0" w:line="240" w:lineRule="auto"/>
      </w:pPr>
      <w:r>
        <w:separator/>
      </w:r>
    </w:p>
  </w:footnote>
  <w:footnote w:type="continuationSeparator" w:id="0">
    <w:p w:rsidR="005E0702" w:rsidRDefault="005E0702" w:rsidP="0002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2B" w:rsidRDefault="00023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7398"/>
    <w:multiLevelType w:val="hybridMultilevel"/>
    <w:tmpl w:val="9064E0AE"/>
    <w:lvl w:ilvl="0" w:tplc="3D345506">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F22022"/>
    <w:multiLevelType w:val="hybridMultilevel"/>
    <w:tmpl w:val="A55A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342766FE"/>
    <w:multiLevelType w:val="hybridMultilevel"/>
    <w:tmpl w:val="5F46757A"/>
    <w:lvl w:ilvl="0" w:tplc="3D345506">
      <w:start w:val="1"/>
      <w:numFmt w:val="bullet"/>
      <w:lvlText w:val="o"/>
      <w:lvlJc w:val="left"/>
      <w:pPr>
        <w:ind w:left="780" w:hanging="360"/>
      </w:pPr>
      <w:rPr>
        <w:rFonts w:ascii="Courier New" w:hAnsi="Courier New"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519575BD"/>
    <w:multiLevelType w:val="hybridMultilevel"/>
    <w:tmpl w:val="52D63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A007E48"/>
    <w:multiLevelType w:val="hybridMultilevel"/>
    <w:tmpl w:val="E93C6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6FB54BD2"/>
    <w:multiLevelType w:val="hybridMultilevel"/>
    <w:tmpl w:val="ED209DAE"/>
    <w:lvl w:ilvl="0" w:tplc="3D345506">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0717A12"/>
    <w:multiLevelType w:val="hybridMultilevel"/>
    <w:tmpl w:val="ABB00354"/>
    <w:lvl w:ilvl="0" w:tplc="3D345506">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38C0BB8"/>
    <w:multiLevelType w:val="hybridMultilevel"/>
    <w:tmpl w:val="13423B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73F314D8"/>
    <w:multiLevelType w:val="hybridMultilevel"/>
    <w:tmpl w:val="A7E0B3E4"/>
    <w:lvl w:ilvl="0" w:tplc="3D345506">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D6143A1"/>
    <w:multiLevelType w:val="hybridMultilevel"/>
    <w:tmpl w:val="E606FD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4"/>
  </w:num>
  <w:num w:numId="7">
    <w:abstractNumId w:val="7"/>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8E"/>
    <w:rsid w:val="0002322B"/>
    <w:rsid w:val="002D505A"/>
    <w:rsid w:val="005C2ADD"/>
    <w:rsid w:val="005E0702"/>
    <w:rsid w:val="00A209C8"/>
    <w:rsid w:val="00AD3D8E"/>
    <w:rsid w:val="00F9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D8E"/>
    <w:rPr>
      <w:color w:val="0000FF" w:themeColor="hyperlink"/>
      <w:u w:val="single"/>
    </w:rPr>
  </w:style>
  <w:style w:type="paragraph" w:styleId="NoSpacing">
    <w:name w:val="No Spacing"/>
    <w:uiPriority w:val="1"/>
    <w:qFormat/>
    <w:rsid w:val="00AD3D8E"/>
    <w:pPr>
      <w:spacing w:after="0" w:line="240" w:lineRule="auto"/>
    </w:pPr>
    <w:rPr>
      <w:rFonts w:ascii="Calibri" w:eastAsia="Calibri" w:hAnsi="Calibri" w:cs="Times New Roman"/>
    </w:rPr>
  </w:style>
  <w:style w:type="table" w:styleId="TableGrid">
    <w:name w:val="Table Grid"/>
    <w:basedOn w:val="TableNormal"/>
    <w:uiPriority w:val="59"/>
    <w:rsid w:val="00AD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2B"/>
  </w:style>
  <w:style w:type="paragraph" w:styleId="Footer">
    <w:name w:val="footer"/>
    <w:basedOn w:val="Normal"/>
    <w:link w:val="FooterChar"/>
    <w:uiPriority w:val="99"/>
    <w:unhideWhenUsed/>
    <w:rsid w:val="0002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22B"/>
  </w:style>
  <w:style w:type="paragraph" w:styleId="BalloonText">
    <w:name w:val="Balloon Text"/>
    <w:basedOn w:val="Normal"/>
    <w:link w:val="BalloonTextChar"/>
    <w:uiPriority w:val="99"/>
    <w:semiHidden/>
    <w:unhideWhenUsed/>
    <w:rsid w:val="0002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D8E"/>
    <w:rPr>
      <w:color w:val="0000FF" w:themeColor="hyperlink"/>
      <w:u w:val="single"/>
    </w:rPr>
  </w:style>
  <w:style w:type="paragraph" w:styleId="NoSpacing">
    <w:name w:val="No Spacing"/>
    <w:uiPriority w:val="1"/>
    <w:qFormat/>
    <w:rsid w:val="00AD3D8E"/>
    <w:pPr>
      <w:spacing w:after="0" w:line="240" w:lineRule="auto"/>
    </w:pPr>
    <w:rPr>
      <w:rFonts w:ascii="Calibri" w:eastAsia="Calibri" w:hAnsi="Calibri" w:cs="Times New Roman"/>
    </w:rPr>
  </w:style>
  <w:style w:type="table" w:styleId="TableGrid">
    <w:name w:val="Table Grid"/>
    <w:basedOn w:val="TableNormal"/>
    <w:uiPriority w:val="59"/>
    <w:rsid w:val="00AD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2B"/>
  </w:style>
  <w:style w:type="paragraph" w:styleId="Footer">
    <w:name w:val="footer"/>
    <w:basedOn w:val="Normal"/>
    <w:link w:val="FooterChar"/>
    <w:uiPriority w:val="99"/>
    <w:unhideWhenUsed/>
    <w:rsid w:val="0002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22B"/>
  </w:style>
  <w:style w:type="paragraph" w:styleId="BalloonText">
    <w:name w:val="Balloon Text"/>
    <w:basedOn w:val="Normal"/>
    <w:link w:val="BalloonTextChar"/>
    <w:uiPriority w:val="99"/>
    <w:semiHidden/>
    <w:unhideWhenUsed/>
    <w:rsid w:val="0002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board.org/wp-content/uploads/PHAB-Standards-and-Measures-Version-1.0.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MORRIS</dc:creator>
  <cp:lastModifiedBy>ngriffit</cp:lastModifiedBy>
  <cp:revision>2</cp:revision>
  <dcterms:created xsi:type="dcterms:W3CDTF">2016-04-25T21:01:00Z</dcterms:created>
  <dcterms:modified xsi:type="dcterms:W3CDTF">2016-04-25T21:01:00Z</dcterms:modified>
</cp:coreProperties>
</file>